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0345F" w14:textId="77777777" w:rsidR="000B6E12" w:rsidRPr="00D17810" w:rsidRDefault="0032543D" w:rsidP="00D17810">
      <w:pPr>
        <w:rPr>
          <w:rFonts w:ascii="Arial" w:hAnsi="Arial" w:cs="Arial"/>
          <w:bCs/>
          <w:sz w:val="28"/>
          <w:szCs w:val="28"/>
        </w:rPr>
      </w:pPr>
      <w:r w:rsidRPr="00D17810">
        <w:rPr>
          <w:rFonts w:ascii="Arial" w:hAnsi="Arial" w:cs="Arial"/>
          <w:bCs/>
          <w:sz w:val="28"/>
          <w:szCs w:val="28"/>
        </w:rPr>
        <w:t xml:space="preserve">INTOXICAÇÕES </w:t>
      </w:r>
      <w:r w:rsidR="00BF0EF6" w:rsidRPr="00D17810">
        <w:rPr>
          <w:rFonts w:ascii="Arial" w:hAnsi="Arial" w:cs="Arial"/>
          <w:bCs/>
          <w:sz w:val="28"/>
          <w:szCs w:val="28"/>
        </w:rPr>
        <w:t xml:space="preserve">EXÓGENAS </w:t>
      </w:r>
      <w:r w:rsidRPr="00D17810">
        <w:rPr>
          <w:rFonts w:ascii="Arial" w:hAnsi="Arial" w:cs="Arial"/>
          <w:bCs/>
          <w:sz w:val="28"/>
          <w:szCs w:val="28"/>
        </w:rPr>
        <w:t>AGUDAS</w:t>
      </w:r>
    </w:p>
    <w:p w14:paraId="4CA601FE" w14:textId="77777777" w:rsidR="00BF0EF6" w:rsidRPr="006C423E" w:rsidRDefault="00293615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Toda intoxicação suspeita ou confirmada deverá ser tratada como uma situação clínica potencialmente grave, pois mesmo pacientes que não apresentam sintomas inicialmente, podem evoluir mal. Desta forma, a abordagem inicial deve ser feita de forma rápida e criteriosa.</w:t>
      </w:r>
    </w:p>
    <w:p w14:paraId="17A7532E" w14:textId="77777777" w:rsidR="00F95112" w:rsidRPr="006C423E" w:rsidRDefault="006C423E" w:rsidP="006C423E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sz w:val="24"/>
          <w:szCs w:val="24"/>
        </w:rPr>
      </w:pPr>
      <w:r w:rsidRPr="006C423E">
        <w:rPr>
          <w:rFonts w:ascii="Arial" w:hAnsi="Arial" w:cs="Arial"/>
          <w:b/>
          <w:sz w:val="24"/>
          <w:szCs w:val="24"/>
        </w:rPr>
        <w:t>Avaliação Inicial</w:t>
      </w:r>
      <w:r>
        <w:rPr>
          <w:rFonts w:ascii="Arial" w:hAnsi="Arial" w:cs="Arial"/>
          <w:b/>
          <w:sz w:val="24"/>
          <w:szCs w:val="24"/>
        </w:rPr>
        <w:t>:</w:t>
      </w:r>
    </w:p>
    <w:p w14:paraId="092EC064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O primeiro passo no atendimento de um paciente intoxicado é a realização de um breve exame físico para identificar as medidas imediatas necessárias para estabilização e evitar a piora clínica. Portanto, neste momento, é de fundamental importância checar:</w:t>
      </w:r>
    </w:p>
    <w:p w14:paraId="6197640A" w14:textId="77777777" w:rsid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Sinais vitais;</w:t>
      </w:r>
    </w:p>
    <w:p w14:paraId="07E5B7D1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Nível e estado de consciência;</w:t>
      </w:r>
    </w:p>
    <w:p w14:paraId="12C97AC9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Pupilas (diâmetro e reatividade à luz);</w:t>
      </w:r>
    </w:p>
    <w:p w14:paraId="56782ACA" w14:textId="77777777" w:rsid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Temperatura e umidade da pele;</w:t>
      </w:r>
    </w:p>
    <w:p w14:paraId="5B0E62F2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Oximetria de pulso;</w:t>
      </w:r>
    </w:p>
    <w:p w14:paraId="51F6B667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Medida de glicose capilar (</w:t>
      </w:r>
      <w:proofErr w:type="spellStart"/>
      <w:r w:rsidRPr="006C423E">
        <w:rPr>
          <w:rFonts w:ascii="Arial" w:hAnsi="Arial" w:cs="Arial"/>
          <w:sz w:val="20"/>
          <w:szCs w:val="20"/>
        </w:rPr>
        <w:t>dextro</w:t>
      </w:r>
      <w:proofErr w:type="spellEnd"/>
      <w:r w:rsidRPr="006C423E">
        <w:rPr>
          <w:rFonts w:ascii="Arial" w:hAnsi="Arial" w:cs="Arial"/>
          <w:sz w:val="20"/>
          <w:szCs w:val="20"/>
        </w:rPr>
        <w:t>);</w:t>
      </w:r>
    </w:p>
    <w:p w14:paraId="00C07B1E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Obter ECG e realizar monitorização eletrocardiográfica se necessário;</w:t>
      </w:r>
    </w:p>
    <w:p w14:paraId="733FDE60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Manter vias aéreas abertas e realizar intubação orotraqueal (IOT), se necessário;</w:t>
      </w:r>
    </w:p>
    <w:p w14:paraId="7442F6B8" w14:textId="77777777" w:rsidR="00293615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Obter acesso venoso calibroso (neste momento, podem ser coletadas amostras para exames toxicológicos);</w:t>
      </w:r>
      <w:r w:rsidR="00293615" w:rsidRPr="006C423E">
        <w:rPr>
          <w:rFonts w:ascii="Arial" w:hAnsi="Arial" w:cs="Arial"/>
          <w:sz w:val="20"/>
          <w:szCs w:val="20"/>
        </w:rPr>
        <w:t xml:space="preserve"> </w:t>
      </w:r>
    </w:p>
    <w:p w14:paraId="47FFE129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Procurar sinais de trauma, infecção, marcas de agulha ou edema de extremidades.</w:t>
      </w:r>
    </w:p>
    <w:p w14:paraId="3E6DC686" w14:textId="77777777" w:rsidR="00F95112" w:rsidRPr="006C423E" w:rsidRDefault="00F95112" w:rsidP="006C423E">
      <w:pPr>
        <w:jc w:val="both"/>
        <w:rPr>
          <w:rFonts w:ascii="Arial" w:hAnsi="Arial" w:cs="Arial"/>
          <w:b/>
          <w:sz w:val="20"/>
          <w:szCs w:val="20"/>
        </w:rPr>
      </w:pPr>
    </w:p>
    <w:p w14:paraId="1465DA59" w14:textId="77777777" w:rsidR="00F95112" w:rsidRPr="006C423E" w:rsidRDefault="006C423E" w:rsidP="006C423E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sz w:val="24"/>
          <w:szCs w:val="24"/>
        </w:rPr>
      </w:pPr>
      <w:r w:rsidRPr="006C423E">
        <w:rPr>
          <w:rFonts w:ascii="Arial" w:hAnsi="Arial" w:cs="Arial"/>
          <w:b/>
          <w:sz w:val="24"/>
          <w:szCs w:val="24"/>
        </w:rPr>
        <w:t>Diagnóstico Da Intoxicação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14:paraId="22764FBE" w14:textId="77777777" w:rsidR="00F95112" w:rsidRPr="006C423E" w:rsidRDefault="00F95112" w:rsidP="007C02F7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A abordagem diagnóstica de uma suspeita de intoxicação envolve a </w:t>
      </w:r>
      <w:r w:rsidR="00BF0EF6" w:rsidRPr="006C423E">
        <w:rPr>
          <w:rFonts w:ascii="Arial" w:hAnsi="Arial" w:cs="Arial"/>
          <w:b/>
          <w:sz w:val="20"/>
          <w:szCs w:val="20"/>
        </w:rPr>
        <w:t xml:space="preserve">(1) </w:t>
      </w:r>
      <w:r w:rsidRPr="006C423E">
        <w:rPr>
          <w:rFonts w:ascii="Arial" w:hAnsi="Arial" w:cs="Arial"/>
          <w:b/>
          <w:sz w:val="20"/>
          <w:szCs w:val="20"/>
        </w:rPr>
        <w:t xml:space="preserve">história da exposição, o </w:t>
      </w:r>
      <w:r w:rsidR="00BF0EF6" w:rsidRPr="006C423E">
        <w:rPr>
          <w:rFonts w:ascii="Arial" w:hAnsi="Arial" w:cs="Arial"/>
          <w:b/>
          <w:sz w:val="20"/>
          <w:szCs w:val="20"/>
        </w:rPr>
        <w:t xml:space="preserve">(2) </w:t>
      </w:r>
      <w:r w:rsidRPr="006C423E">
        <w:rPr>
          <w:rFonts w:ascii="Arial" w:hAnsi="Arial" w:cs="Arial"/>
          <w:b/>
          <w:sz w:val="20"/>
          <w:szCs w:val="20"/>
        </w:rPr>
        <w:t xml:space="preserve">exame físico e </w:t>
      </w:r>
      <w:r w:rsidR="00BF0EF6" w:rsidRPr="006C423E">
        <w:rPr>
          <w:rFonts w:ascii="Arial" w:hAnsi="Arial" w:cs="Arial"/>
          <w:b/>
          <w:sz w:val="20"/>
          <w:szCs w:val="20"/>
        </w:rPr>
        <w:t>(</w:t>
      </w:r>
      <w:proofErr w:type="gramStart"/>
      <w:r w:rsidR="00BF0EF6" w:rsidRPr="006C423E">
        <w:rPr>
          <w:rFonts w:ascii="Arial" w:hAnsi="Arial" w:cs="Arial"/>
          <w:b/>
          <w:sz w:val="20"/>
          <w:szCs w:val="20"/>
        </w:rPr>
        <w:t>3 )</w:t>
      </w:r>
      <w:r w:rsidRPr="006C423E">
        <w:rPr>
          <w:rFonts w:ascii="Arial" w:hAnsi="Arial" w:cs="Arial"/>
          <w:b/>
          <w:sz w:val="20"/>
          <w:szCs w:val="20"/>
        </w:rPr>
        <w:t>exames</w:t>
      </w:r>
      <w:proofErr w:type="gramEnd"/>
      <w:r w:rsidRPr="006C423E">
        <w:rPr>
          <w:rFonts w:ascii="Arial" w:hAnsi="Arial" w:cs="Arial"/>
          <w:b/>
          <w:sz w:val="20"/>
          <w:szCs w:val="20"/>
        </w:rPr>
        <w:t xml:space="preserve"> complementares de rotina e toxicológicos.</w:t>
      </w:r>
      <w:r w:rsidRPr="006C423E">
        <w:rPr>
          <w:rFonts w:ascii="Arial" w:hAnsi="Arial" w:cs="Arial"/>
          <w:b/>
          <w:sz w:val="20"/>
          <w:szCs w:val="20"/>
        </w:rPr>
        <w:cr/>
      </w:r>
    </w:p>
    <w:p w14:paraId="2FDDE379" w14:textId="77777777" w:rsidR="00F95112" w:rsidRPr="006C423E" w:rsidRDefault="00F95112" w:rsidP="006C423E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História da exposição</w:t>
      </w:r>
      <w:r w:rsidR="005A6337">
        <w:rPr>
          <w:rFonts w:ascii="Arial" w:hAnsi="Arial" w:cs="Arial"/>
          <w:b/>
          <w:sz w:val="20"/>
          <w:szCs w:val="20"/>
        </w:rPr>
        <w:t>:</w:t>
      </w:r>
    </w:p>
    <w:p w14:paraId="6E6C5C51" w14:textId="77777777" w:rsidR="00F95112" w:rsidRPr="006C423E" w:rsidRDefault="00F95112" w:rsidP="007C02F7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Utiliza-se a estratégia dos “5 Ws”, isto é, deve-se obter os dados r</w:t>
      </w:r>
      <w:r w:rsidR="007C02F7">
        <w:rPr>
          <w:rFonts w:ascii="Arial" w:hAnsi="Arial" w:cs="Arial"/>
          <w:sz w:val="20"/>
          <w:szCs w:val="20"/>
        </w:rPr>
        <w:t xml:space="preserve">elacionados ao paciente (Who? </w:t>
      </w:r>
      <w:r w:rsidRPr="006C423E">
        <w:rPr>
          <w:rFonts w:ascii="Arial" w:hAnsi="Arial" w:cs="Arial"/>
          <w:sz w:val="20"/>
          <w:szCs w:val="20"/>
        </w:rPr>
        <w:t>Quem?), à substância utilizada (</w:t>
      </w:r>
      <w:proofErr w:type="spellStart"/>
      <w:r w:rsidRPr="006C423E">
        <w:rPr>
          <w:rFonts w:ascii="Arial" w:hAnsi="Arial" w:cs="Arial"/>
          <w:sz w:val="20"/>
          <w:szCs w:val="20"/>
        </w:rPr>
        <w:t>What</w:t>
      </w:r>
      <w:proofErr w:type="spellEnd"/>
      <w:r w:rsidRPr="006C423E">
        <w:rPr>
          <w:rFonts w:ascii="Arial" w:hAnsi="Arial" w:cs="Arial"/>
          <w:sz w:val="20"/>
          <w:szCs w:val="20"/>
        </w:rPr>
        <w:t>? - O quê?), horário da exposição (</w:t>
      </w:r>
      <w:proofErr w:type="spellStart"/>
      <w:r w:rsidRPr="006C423E">
        <w:rPr>
          <w:rFonts w:ascii="Arial" w:hAnsi="Arial" w:cs="Arial"/>
          <w:sz w:val="20"/>
          <w:szCs w:val="20"/>
        </w:rPr>
        <w:t>When</w:t>
      </w:r>
      <w:proofErr w:type="spellEnd"/>
      <w:r w:rsidRPr="006C423E">
        <w:rPr>
          <w:rFonts w:ascii="Arial" w:hAnsi="Arial" w:cs="Arial"/>
          <w:sz w:val="20"/>
          <w:szCs w:val="20"/>
        </w:rPr>
        <w:t>? - Quando?), local da ocorrência (</w:t>
      </w:r>
      <w:proofErr w:type="spellStart"/>
      <w:r w:rsidRPr="006C423E">
        <w:rPr>
          <w:rFonts w:ascii="Arial" w:hAnsi="Arial" w:cs="Arial"/>
          <w:sz w:val="20"/>
          <w:szCs w:val="20"/>
        </w:rPr>
        <w:t>Where</w:t>
      </w:r>
      <w:proofErr w:type="spellEnd"/>
      <w:r w:rsidRPr="006C423E">
        <w:rPr>
          <w:rFonts w:ascii="Arial" w:hAnsi="Arial" w:cs="Arial"/>
          <w:sz w:val="20"/>
          <w:szCs w:val="20"/>
        </w:rPr>
        <w:t>? - Onde?) e motivo da exposição (</w:t>
      </w:r>
      <w:proofErr w:type="spellStart"/>
      <w:r w:rsidRPr="006C423E">
        <w:rPr>
          <w:rFonts w:ascii="Arial" w:hAnsi="Arial" w:cs="Arial"/>
          <w:sz w:val="20"/>
          <w:szCs w:val="20"/>
        </w:rPr>
        <w:t>Why</w:t>
      </w:r>
      <w:proofErr w:type="spellEnd"/>
      <w:r w:rsidRPr="006C423E">
        <w:rPr>
          <w:rFonts w:ascii="Arial" w:hAnsi="Arial" w:cs="Arial"/>
          <w:sz w:val="20"/>
          <w:szCs w:val="20"/>
        </w:rPr>
        <w:t>? - Por quê?).</w:t>
      </w:r>
    </w:p>
    <w:p w14:paraId="4E1E7494" w14:textId="77777777" w:rsidR="00F95112" w:rsidRPr="006C423E" w:rsidRDefault="00F95112" w:rsidP="007C02F7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Atentar para o fato de que muitas informações podem ser distorcidas ou omitidas, principalmente quando há tentativas de suicídio ou homicídio envolvidas, uso de drogas ilícitas, abortamento ou maus tratos.</w:t>
      </w:r>
    </w:p>
    <w:p w14:paraId="016B3400" w14:textId="77777777" w:rsidR="001615D3" w:rsidRDefault="00F95112" w:rsidP="007C02F7">
      <w:pPr>
        <w:jc w:val="both"/>
        <w:rPr>
          <w:rFonts w:ascii="Arial" w:hAnsi="Arial" w:cs="Arial"/>
          <w:sz w:val="20"/>
          <w:szCs w:val="20"/>
        </w:rPr>
      </w:pPr>
      <w:r w:rsidRPr="007C02F7">
        <w:rPr>
          <w:rFonts w:ascii="Arial" w:hAnsi="Arial" w:cs="Arial"/>
          <w:b/>
          <w:sz w:val="20"/>
          <w:szCs w:val="20"/>
        </w:rPr>
        <w:t>Paciente:</w:t>
      </w:r>
      <w:r w:rsidR="00BF0EF6" w:rsidRPr="007C02F7">
        <w:rPr>
          <w:rFonts w:ascii="Arial" w:hAnsi="Arial" w:cs="Arial"/>
          <w:sz w:val="20"/>
          <w:szCs w:val="20"/>
        </w:rPr>
        <w:t xml:space="preserve"> </w:t>
      </w:r>
    </w:p>
    <w:p w14:paraId="08B69C80" w14:textId="77777777" w:rsidR="00F95112" w:rsidRPr="007C02F7" w:rsidRDefault="001615D3" w:rsidP="007C02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F95112" w:rsidRPr="007C02F7">
        <w:rPr>
          <w:rFonts w:ascii="Arial" w:hAnsi="Arial" w:cs="Arial"/>
          <w:sz w:val="20"/>
          <w:szCs w:val="20"/>
        </w:rPr>
        <w:t>istórico de doenças, medicações em uso, tentativas de suicídio anteriores, ocupação, acesso a substâncias, uso de drogas e gravidez.</w:t>
      </w:r>
    </w:p>
    <w:p w14:paraId="609E8C54" w14:textId="77777777" w:rsidR="001615D3" w:rsidRDefault="00F95112" w:rsidP="007C02F7">
      <w:pPr>
        <w:jc w:val="both"/>
        <w:rPr>
          <w:rFonts w:ascii="Arial" w:hAnsi="Arial" w:cs="Arial"/>
          <w:sz w:val="20"/>
          <w:szCs w:val="20"/>
        </w:rPr>
      </w:pPr>
      <w:r w:rsidRPr="007C02F7">
        <w:rPr>
          <w:rFonts w:ascii="Arial" w:hAnsi="Arial" w:cs="Arial"/>
          <w:b/>
          <w:sz w:val="20"/>
          <w:szCs w:val="20"/>
        </w:rPr>
        <w:t>Agente tóxico:</w:t>
      </w:r>
      <w:r w:rsidR="001615D3">
        <w:rPr>
          <w:rFonts w:ascii="Arial" w:hAnsi="Arial" w:cs="Arial"/>
          <w:sz w:val="20"/>
          <w:szCs w:val="20"/>
        </w:rPr>
        <w:t xml:space="preserve"> </w:t>
      </w:r>
    </w:p>
    <w:p w14:paraId="3D7A4FD7" w14:textId="77777777" w:rsidR="00F95112" w:rsidRPr="007C02F7" w:rsidRDefault="001615D3" w:rsidP="007C02F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</w:t>
      </w:r>
      <w:r w:rsidR="00F95112" w:rsidRPr="007C02F7">
        <w:rPr>
          <w:rFonts w:ascii="Arial" w:hAnsi="Arial" w:cs="Arial"/>
          <w:sz w:val="20"/>
          <w:szCs w:val="20"/>
        </w:rPr>
        <w:t>ubstância utilizada e a quantidade. Sempre que possível, solicitar para os acompanhantes trazerem os frascos ou embalagens e questionar se pode ser um produto clandestino.</w:t>
      </w:r>
    </w:p>
    <w:p w14:paraId="1855BAAF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Tempo:</w:t>
      </w:r>
      <w:r w:rsidRPr="001615D3">
        <w:rPr>
          <w:rFonts w:ascii="Arial" w:hAnsi="Arial" w:cs="Arial"/>
          <w:sz w:val="20"/>
          <w:szCs w:val="20"/>
        </w:rPr>
        <w:t xml:space="preserve"> horário da exposição e por quanto tempo a substância foi utilizada, nos casos de exposições repetidas. Questionar se houve algum sintoma prévio à exposição.</w:t>
      </w:r>
    </w:p>
    <w:p w14:paraId="2BE77B4E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Local:</w:t>
      </w:r>
      <w:r w:rsidR="00BF0EF6" w:rsidRPr="001615D3">
        <w:rPr>
          <w:rFonts w:ascii="Arial" w:hAnsi="Arial" w:cs="Arial"/>
          <w:sz w:val="20"/>
          <w:szCs w:val="20"/>
        </w:rPr>
        <w:t xml:space="preserve"> </w:t>
      </w:r>
      <w:r w:rsidRPr="001615D3">
        <w:rPr>
          <w:rFonts w:ascii="Arial" w:hAnsi="Arial" w:cs="Arial"/>
          <w:sz w:val="20"/>
          <w:szCs w:val="20"/>
        </w:rPr>
        <w:t>onde ocorreu a exposição e se foram encontrados frascos, embalagens, seringas ou cartelas de comprimidos próximos ao paciente. Verificar quais medicamentos são utilizados pe</w:t>
      </w:r>
      <w:r w:rsidR="00E770C1" w:rsidRPr="001615D3">
        <w:rPr>
          <w:rFonts w:ascii="Arial" w:hAnsi="Arial" w:cs="Arial"/>
          <w:sz w:val="20"/>
          <w:szCs w:val="20"/>
        </w:rPr>
        <w:t>l</w:t>
      </w:r>
      <w:r w:rsidRPr="001615D3">
        <w:rPr>
          <w:rFonts w:ascii="Arial" w:hAnsi="Arial" w:cs="Arial"/>
          <w:sz w:val="20"/>
          <w:szCs w:val="20"/>
        </w:rPr>
        <w:t>os familiares ou pelas pessoas onde o indivíduo foi encontrado.</w:t>
      </w:r>
    </w:p>
    <w:p w14:paraId="6A722DDC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Motivo:</w:t>
      </w:r>
      <w:r w:rsidRPr="001615D3">
        <w:rPr>
          <w:rFonts w:ascii="Arial" w:hAnsi="Arial" w:cs="Arial"/>
          <w:sz w:val="20"/>
          <w:szCs w:val="20"/>
        </w:rPr>
        <w:t xml:space="preserve"> circunstância da exposição, já que é de extrema importância saber se foi tentativa de suicídio, homicídio, acidente, abuso de drogas e outras.</w:t>
      </w:r>
    </w:p>
    <w:p w14:paraId="3956388C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</w:p>
    <w:p w14:paraId="3BC434B7" w14:textId="77777777" w:rsidR="00F95112" w:rsidRPr="006C423E" w:rsidRDefault="00F95112" w:rsidP="006C423E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Exame físico</w:t>
      </w:r>
      <w:r w:rsidR="001615D3">
        <w:rPr>
          <w:rFonts w:ascii="Arial" w:hAnsi="Arial" w:cs="Arial"/>
          <w:b/>
          <w:sz w:val="20"/>
          <w:szCs w:val="20"/>
        </w:rPr>
        <w:t>:</w:t>
      </w:r>
    </w:p>
    <w:p w14:paraId="712732DC" w14:textId="77777777" w:rsidR="00F95112" w:rsidRPr="006C423E" w:rsidRDefault="00F95112" w:rsidP="006C423E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Realizar exame físico do paciente verificando os principais sinais e sintomas descritos abaixo:</w:t>
      </w:r>
    </w:p>
    <w:p w14:paraId="07D70EB9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Odores característicos:</w:t>
      </w:r>
      <w:r w:rsidRPr="001615D3">
        <w:rPr>
          <w:rFonts w:ascii="Arial" w:hAnsi="Arial" w:cs="Arial"/>
          <w:sz w:val="20"/>
          <w:szCs w:val="20"/>
        </w:rPr>
        <w:t xml:space="preserve"> ex.: hálito etílico (uso de álcool), odor de alho (organofosforados);</w:t>
      </w:r>
    </w:p>
    <w:p w14:paraId="605C78CA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Achados cutâneos:</w:t>
      </w:r>
      <w:r w:rsidRPr="001615D3">
        <w:rPr>
          <w:rFonts w:ascii="Arial" w:hAnsi="Arial" w:cs="Arial"/>
          <w:sz w:val="20"/>
          <w:szCs w:val="20"/>
        </w:rPr>
        <w:t xml:space="preserve"> sudorese, secura de mucosas, vermelhidão, palidez, cianose, desidratação, edema;</w:t>
      </w:r>
    </w:p>
    <w:p w14:paraId="5692D651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Temperatura:</w:t>
      </w:r>
      <w:r w:rsidRPr="001615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15D3">
        <w:rPr>
          <w:rFonts w:ascii="Arial" w:hAnsi="Arial" w:cs="Arial"/>
          <w:sz w:val="20"/>
          <w:szCs w:val="20"/>
        </w:rPr>
        <w:t>hipo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ou hipertermia;</w:t>
      </w:r>
    </w:p>
    <w:p w14:paraId="5A34C1B5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 xml:space="preserve">Alterações de pupilas: </w:t>
      </w:r>
      <w:proofErr w:type="spellStart"/>
      <w:r w:rsidRPr="001615D3">
        <w:rPr>
          <w:rFonts w:ascii="Arial" w:hAnsi="Arial" w:cs="Arial"/>
          <w:sz w:val="20"/>
          <w:szCs w:val="20"/>
        </w:rPr>
        <w:t>miose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, midríase, </w:t>
      </w:r>
      <w:proofErr w:type="spellStart"/>
      <w:r w:rsidRPr="001615D3">
        <w:rPr>
          <w:rFonts w:ascii="Arial" w:hAnsi="Arial" w:cs="Arial"/>
          <w:sz w:val="20"/>
          <w:szCs w:val="20"/>
        </w:rPr>
        <w:t>anisocoria</w:t>
      </w:r>
      <w:proofErr w:type="spellEnd"/>
      <w:r w:rsidRPr="001615D3">
        <w:rPr>
          <w:rFonts w:ascii="Arial" w:hAnsi="Arial" w:cs="Arial"/>
          <w:sz w:val="20"/>
          <w:szCs w:val="20"/>
        </w:rPr>
        <w:t>, alterações de reflexo pupilar;</w:t>
      </w:r>
    </w:p>
    <w:p w14:paraId="34F82641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 xml:space="preserve">Alterações da consciência: </w:t>
      </w:r>
      <w:r w:rsidRPr="001615D3">
        <w:rPr>
          <w:rFonts w:ascii="Arial" w:hAnsi="Arial" w:cs="Arial"/>
          <w:sz w:val="20"/>
          <w:szCs w:val="20"/>
        </w:rPr>
        <w:t>agitação, sedação, confusão mental, alucinação, delírio, desorientação;</w:t>
      </w:r>
    </w:p>
    <w:p w14:paraId="2EE05BDD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Anormalidades neurológicas:</w:t>
      </w:r>
      <w:r w:rsidRPr="001615D3">
        <w:rPr>
          <w:rFonts w:ascii="Arial" w:hAnsi="Arial" w:cs="Arial"/>
          <w:sz w:val="20"/>
          <w:szCs w:val="20"/>
        </w:rPr>
        <w:t xml:space="preserve"> convulsão, síncope, alteração de reflexos, alteração de tônus muscular, </w:t>
      </w:r>
      <w:proofErr w:type="spellStart"/>
      <w:r w:rsidRPr="001615D3">
        <w:rPr>
          <w:rFonts w:ascii="Arial" w:hAnsi="Arial" w:cs="Arial"/>
          <w:sz w:val="20"/>
          <w:szCs w:val="20"/>
        </w:rPr>
        <w:t>fasciculações</w:t>
      </w:r>
      <w:proofErr w:type="spellEnd"/>
      <w:r w:rsidRPr="001615D3">
        <w:rPr>
          <w:rFonts w:ascii="Arial" w:hAnsi="Arial" w:cs="Arial"/>
          <w:sz w:val="20"/>
          <w:szCs w:val="20"/>
        </w:rPr>
        <w:t>, movimentos anormais;</w:t>
      </w:r>
    </w:p>
    <w:p w14:paraId="7030F55D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Alterações cardiovasculares:</w:t>
      </w:r>
      <w:r w:rsidRPr="001615D3">
        <w:rPr>
          <w:rFonts w:ascii="Arial" w:hAnsi="Arial" w:cs="Arial"/>
          <w:sz w:val="20"/>
          <w:szCs w:val="20"/>
        </w:rPr>
        <w:t xml:space="preserve"> bradicardia, taquicardia, hipertensão, hipotensão, arritmias;</w:t>
      </w:r>
    </w:p>
    <w:p w14:paraId="2141E6F3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Anormalidades respiratórias:</w:t>
      </w:r>
      <w:r w:rsidRPr="001615D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615D3">
        <w:rPr>
          <w:rFonts w:ascii="Arial" w:hAnsi="Arial" w:cs="Arial"/>
          <w:sz w:val="20"/>
          <w:szCs w:val="20"/>
        </w:rPr>
        <w:t>bradipneia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ou taquipneia, presença de ruídos adventícios pulmonares;</w:t>
      </w:r>
    </w:p>
    <w:p w14:paraId="7845BCFC" w14:textId="77777777" w:rsidR="00F95112" w:rsidRPr="001615D3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Achados do aparelho digestório:</w:t>
      </w:r>
      <w:r w:rsidRPr="001615D3">
        <w:rPr>
          <w:rFonts w:ascii="Arial" w:hAnsi="Arial" w:cs="Arial"/>
          <w:sz w:val="20"/>
          <w:szCs w:val="20"/>
        </w:rPr>
        <w:t xml:space="preserve"> sialorreia, vômitos, hematêmese, diarreia, rigidez abdominal, aumento ou diminuição de ruídos hidroaéreos;</w:t>
      </w:r>
    </w:p>
    <w:p w14:paraId="266FFF0B" w14:textId="77777777" w:rsidR="00B95550" w:rsidRPr="006C423E" w:rsidRDefault="00F95112" w:rsidP="001615D3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Estes sinais e sintomas descritos, quando agrupados, podem caracterizar uma determinada síndrome tóxica. As principais síndromes tóxicas utilizadas para o diagnóstico da intoxicação aguda </w:t>
      </w:r>
      <w:r w:rsidR="005A3612" w:rsidRPr="006C423E">
        <w:rPr>
          <w:rFonts w:ascii="Arial" w:hAnsi="Arial" w:cs="Arial"/>
          <w:sz w:val="20"/>
          <w:szCs w:val="20"/>
        </w:rPr>
        <w:t>estão descritas na tabela abaixo:</w:t>
      </w:r>
    </w:p>
    <w:tbl>
      <w:tblPr>
        <w:tblStyle w:val="SombreamentoClaro-nfase1"/>
        <w:tblW w:w="9246" w:type="dxa"/>
        <w:tblLayout w:type="fixed"/>
        <w:tblLook w:val="04A0" w:firstRow="1" w:lastRow="0" w:firstColumn="1" w:lastColumn="0" w:noHBand="0" w:noVBand="1"/>
      </w:tblPr>
      <w:tblGrid>
        <w:gridCol w:w="1827"/>
        <w:gridCol w:w="1575"/>
        <w:gridCol w:w="985"/>
        <w:gridCol w:w="1334"/>
        <w:gridCol w:w="1699"/>
        <w:gridCol w:w="1826"/>
      </w:tblGrid>
      <w:tr w:rsidR="00977CF1" w:rsidRPr="006C423E" w14:paraId="5356164E" w14:textId="77777777" w:rsidTr="00D17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DDD9C3" w:themeFill="background2" w:themeFillShade="E6"/>
          </w:tcPr>
          <w:p w14:paraId="31980743" w14:textId="77777777" w:rsidR="00E770C1" w:rsidRPr="006C423E" w:rsidRDefault="00E770C1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Síndromes Tóxicas </w:t>
            </w:r>
          </w:p>
        </w:tc>
        <w:tc>
          <w:tcPr>
            <w:tcW w:w="1575" w:type="dxa"/>
            <w:shd w:val="clear" w:color="auto" w:fill="DDD9C3" w:themeFill="background2" w:themeFillShade="E6"/>
          </w:tcPr>
          <w:p w14:paraId="305B6D02" w14:textId="77777777" w:rsidR="00E770C1" w:rsidRPr="006C423E" w:rsidRDefault="00E770C1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Sinais Vitais</w:t>
            </w:r>
          </w:p>
        </w:tc>
        <w:tc>
          <w:tcPr>
            <w:tcW w:w="985" w:type="dxa"/>
            <w:shd w:val="clear" w:color="auto" w:fill="DDD9C3" w:themeFill="background2" w:themeFillShade="E6"/>
          </w:tcPr>
          <w:p w14:paraId="3E71AD22" w14:textId="77777777" w:rsidR="00E770C1" w:rsidRPr="006C423E" w:rsidRDefault="00E770C1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Pupilas </w:t>
            </w:r>
          </w:p>
        </w:tc>
        <w:tc>
          <w:tcPr>
            <w:tcW w:w="1334" w:type="dxa"/>
            <w:shd w:val="clear" w:color="auto" w:fill="DDD9C3" w:themeFill="background2" w:themeFillShade="E6"/>
          </w:tcPr>
          <w:p w14:paraId="2A0BCF2A" w14:textId="77777777" w:rsidR="00E770C1" w:rsidRPr="006C423E" w:rsidRDefault="00E770C1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SNC</w:t>
            </w:r>
          </w:p>
        </w:tc>
        <w:tc>
          <w:tcPr>
            <w:tcW w:w="1699" w:type="dxa"/>
            <w:shd w:val="clear" w:color="auto" w:fill="DDD9C3" w:themeFill="background2" w:themeFillShade="E6"/>
          </w:tcPr>
          <w:p w14:paraId="2217419F" w14:textId="77777777" w:rsidR="00E770C1" w:rsidRPr="006C423E" w:rsidRDefault="00E770C1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Outros sistemas </w:t>
            </w:r>
          </w:p>
        </w:tc>
        <w:tc>
          <w:tcPr>
            <w:tcW w:w="1826" w:type="dxa"/>
            <w:shd w:val="clear" w:color="auto" w:fill="DDD9C3" w:themeFill="background2" w:themeFillShade="E6"/>
          </w:tcPr>
          <w:p w14:paraId="713D2F8D" w14:textId="77777777" w:rsidR="00E770C1" w:rsidRPr="006C423E" w:rsidRDefault="00E770C1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Agentes tóxicos</w:t>
            </w:r>
          </w:p>
        </w:tc>
      </w:tr>
      <w:tr w:rsidR="00977CF1" w:rsidRPr="006C423E" w14:paraId="073CB1BD" w14:textId="77777777" w:rsidTr="00D1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auto"/>
          </w:tcPr>
          <w:p w14:paraId="28A27F56" w14:textId="77777777" w:rsidR="00C21004" w:rsidRPr="006C423E" w:rsidRDefault="00C21004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7CFBC747" w14:textId="77777777" w:rsidR="00E770C1" w:rsidRPr="006C423E" w:rsidRDefault="00E770C1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Hipnótica Sedativa Narcótica</w:t>
            </w:r>
          </w:p>
        </w:tc>
        <w:tc>
          <w:tcPr>
            <w:tcW w:w="1575" w:type="dxa"/>
            <w:shd w:val="clear" w:color="auto" w:fill="auto"/>
          </w:tcPr>
          <w:p w14:paraId="6218E21B" w14:textId="77777777" w:rsidR="00C21004" w:rsidRPr="006C423E" w:rsidRDefault="00C21004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FA714A0" w14:textId="77777777" w:rsidR="00E770C1" w:rsidRPr="006C423E" w:rsidRDefault="00E770C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Hipotermia Bradicardia Hipotensão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Bradipnéia</w:t>
            </w:r>
            <w:proofErr w:type="spellEnd"/>
          </w:p>
          <w:p w14:paraId="77CF30C3" w14:textId="77777777" w:rsidR="004E23A7" w:rsidRPr="006C423E" w:rsidRDefault="004E23A7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  <w:tc>
          <w:tcPr>
            <w:tcW w:w="985" w:type="dxa"/>
            <w:shd w:val="clear" w:color="auto" w:fill="auto"/>
          </w:tcPr>
          <w:p w14:paraId="628EA5BE" w14:textId="77777777" w:rsidR="00C21004" w:rsidRPr="006C423E" w:rsidRDefault="00C21004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15796270" w14:textId="77777777" w:rsidR="00E770C1" w:rsidRPr="006C423E" w:rsidRDefault="00E770C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Miose</w:t>
            </w:r>
            <w:proofErr w:type="spellEnd"/>
          </w:p>
        </w:tc>
        <w:tc>
          <w:tcPr>
            <w:tcW w:w="1334" w:type="dxa"/>
            <w:shd w:val="clear" w:color="auto" w:fill="auto"/>
          </w:tcPr>
          <w:p w14:paraId="6CC21231" w14:textId="77777777" w:rsidR="00C21004" w:rsidRPr="006C423E" w:rsidRDefault="00C21004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6C40C1C8" w14:textId="77777777" w:rsidR="00E770C1" w:rsidRPr="006C423E" w:rsidRDefault="00E770C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Depressão SNC Depressão respiratória</w:t>
            </w:r>
          </w:p>
        </w:tc>
        <w:tc>
          <w:tcPr>
            <w:tcW w:w="1699" w:type="dxa"/>
            <w:shd w:val="clear" w:color="auto" w:fill="auto"/>
          </w:tcPr>
          <w:p w14:paraId="0B5709B9" w14:textId="77777777" w:rsidR="00C21004" w:rsidRPr="006C423E" w:rsidRDefault="00C21004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251CBF9F" w14:textId="77777777" w:rsidR="00E770C1" w:rsidRPr="006C423E" w:rsidRDefault="00E770C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Hiporreflexia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Edema Pulmonar</w:t>
            </w:r>
          </w:p>
        </w:tc>
        <w:tc>
          <w:tcPr>
            <w:tcW w:w="1826" w:type="dxa"/>
            <w:shd w:val="clear" w:color="auto" w:fill="auto"/>
          </w:tcPr>
          <w:p w14:paraId="5AF00031" w14:textId="77777777" w:rsidR="00C21004" w:rsidRPr="006C423E" w:rsidRDefault="00C21004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14:paraId="444431F1" w14:textId="77777777" w:rsidR="00E770C1" w:rsidRPr="006C423E" w:rsidRDefault="00E770C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Barbitúricos Benzodiazepínicos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Opióides</w:t>
            </w:r>
            <w:proofErr w:type="spellEnd"/>
          </w:p>
        </w:tc>
      </w:tr>
      <w:tr w:rsidR="00977CF1" w:rsidRPr="006C423E" w14:paraId="6647F3C1" w14:textId="77777777" w:rsidTr="00D17810">
        <w:trPr>
          <w:trHeight w:val="1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DDD9C3" w:themeFill="background2" w:themeFillShade="E6"/>
          </w:tcPr>
          <w:p w14:paraId="3E7B4234" w14:textId="77777777" w:rsidR="00E770C1" w:rsidRPr="006C423E" w:rsidRDefault="002F4C66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lastRenderedPageBreak/>
              <w:t>Colinérgica</w:t>
            </w:r>
          </w:p>
        </w:tc>
        <w:tc>
          <w:tcPr>
            <w:tcW w:w="1575" w:type="dxa"/>
            <w:shd w:val="clear" w:color="auto" w:fill="DDD9C3" w:themeFill="background2" w:themeFillShade="E6"/>
          </w:tcPr>
          <w:p w14:paraId="19A7949E" w14:textId="77777777" w:rsidR="00E770C1" w:rsidRPr="006C423E" w:rsidRDefault="002F4C66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Hipotermia Bradicardia Hipotensão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Bradipnéia</w:t>
            </w:r>
            <w:proofErr w:type="spellEnd"/>
          </w:p>
        </w:tc>
        <w:tc>
          <w:tcPr>
            <w:tcW w:w="985" w:type="dxa"/>
            <w:shd w:val="clear" w:color="auto" w:fill="DDD9C3" w:themeFill="background2" w:themeFillShade="E6"/>
          </w:tcPr>
          <w:p w14:paraId="4CFD2F10" w14:textId="77777777" w:rsidR="00E770C1" w:rsidRPr="006C423E" w:rsidRDefault="002F4C66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Miose</w:t>
            </w:r>
            <w:proofErr w:type="spellEnd"/>
          </w:p>
        </w:tc>
        <w:tc>
          <w:tcPr>
            <w:tcW w:w="1334" w:type="dxa"/>
            <w:shd w:val="clear" w:color="auto" w:fill="DDD9C3" w:themeFill="background2" w:themeFillShade="E6"/>
          </w:tcPr>
          <w:p w14:paraId="28036576" w14:textId="77777777" w:rsidR="00E770C1" w:rsidRPr="006C423E" w:rsidRDefault="002F4C66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Confusão mental Convulsões Coma</w:t>
            </w:r>
          </w:p>
        </w:tc>
        <w:tc>
          <w:tcPr>
            <w:tcW w:w="1699" w:type="dxa"/>
            <w:shd w:val="clear" w:color="auto" w:fill="DDD9C3" w:themeFill="background2" w:themeFillShade="E6"/>
          </w:tcPr>
          <w:p w14:paraId="255821E2" w14:textId="77777777" w:rsidR="00E770C1" w:rsidRPr="006C423E" w:rsidRDefault="0098555D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Sialorréia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r w:rsidR="002F4C66"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intensa Sudorese Lacrimejamento Náusea/vômito </w:t>
            </w:r>
            <w:proofErr w:type="spellStart"/>
            <w:r w:rsidR="002F4C66" w:rsidRPr="006C423E">
              <w:rPr>
                <w:rFonts w:ascii="Arial" w:hAnsi="Arial" w:cs="Arial"/>
                <w:color w:val="auto"/>
                <w:sz w:val="20"/>
                <w:szCs w:val="20"/>
              </w:rPr>
              <w:t>Dispnéia</w:t>
            </w:r>
            <w:proofErr w:type="spellEnd"/>
            <w:r w:rsidR="002F4C66"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F4C66" w:rsidRPr="006C423E">
              <w:rPr>
                <w:rFonts w:ascii="Arial" w:hAnsi="Arial" w:cs="Arial"/>
                <w:color w:val="auto"/>
                <w:sz w:val="20"/>
                <w:szCs w:val="20"/>
              </w:rPr>
              <w:t>Broncoconstrição</w:t>
            </w:r>
            <w:proofErr w:type="spellEnd"/>
            <w:r w:rsidR="002F4C66"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2F4C66" w:rsidRPr="006C423E">
              <w:rPr>
                <w:rFonts w:ascii="Arial" w:hAnsi="Arial" w:cs="Arial"/>
                <w:color w:val="auto"/>
                <w:sz w:val="20"/>
                <w:szCs w:val="20"/>
              </w:rPr>
              <w:t>Fasciculações</w:t>
            </w:r>
            <w:proofErr w:type="spellEnd"/>
          </w:p>
        </w:tc>
        <w:tc>
          <w:tcPr>
            <w:tcW w:w="1826" w:type="dxa"/>
            <w:shd w:val="clear" w:color="auto" w:fill="DDD9C3" w:themeFill="background2" w:themeFillShade="E6"/>
          </w:tcPr>
          <w:p w14:paraId="41188F8D" w14:textId="77777777" w:rsidR="00E770C1" w:rsidRPr="006C423E" w:rsidRDefault="002F4C66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Organofosforados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Carbamatos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Nicotina</w:t>
            </w:r>
          </w:p>
        </w:tc>
      </w:tr>
      <w:tr w:rsidR="00977CF1" w:rsidRPr="006C423E" w14:paraId="29AF7808" w14:textId="77777777" w:rsidTr="00D1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auto"/>
          </w:tcPr>
          <w:p w14:paraId="715F23A7" w14:textId="77777777" w:rsidR="00E770C1" w:rsidRPr="006C423E" w:rsidRDefault="00610F4A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Anticolinérgica</w:t>
            </w:r>
          </w:p>
        </w:tc>
        <w:tc>
          <w:tcPr>
            <w:tcW w:w="1575" w:type="dxa"/>
            <w:shd w:val="clear" w:color="auto" w:fill="auto"/>
          </w:tcPr>
          <w:p w14:paraId="69E7B720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Hipertermia Taquicardia Hipertensão Taquipneia</w:t>
            </w:r>
          </w:p>
        </w:tc>
        <w:tc>
          <w:tcPr>
            <w:tcW w:w="985" w:type="dxa"/>
            <w:shd w:val="clear" w:color="auto" w:fill="auto"/>
          </w:tcPr>
          <w:p w14:paraId="79693165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Midríase</w:t>
            </w:r>
          </w:p>
        </w:tc>
        <w:tc>
          <w:tcPr>
            <w:tcW w:w="1334" w:type="dxa"/>
            <w:shd w:val="clear" w:color="auto" w:fill="auto"/>
          </w:tcPr>
          <w:p w14:paraId="5398E9AC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Agitação Alucinação Delírio Convulsões</w:t>
            </w:r>
          </w:p>
        </w:tc>
        <w:tc>
          <w:tcPr>
            <w:tcW w:w="1699" w:type="dxa"/>
            <w:shd w:val="clear" w:color="auto" w:fill="auto"/>
          </w:tcPr>
          <w:p w14:paraId="2C496099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Retenção urinária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Miocloniais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Convulsões Mucosas secas</w:t>
            </w:r>
          </w:p>
        </w:tc>
        <w:tc>
          <w:tcPr>
            <w:tcW w:w="1826" w:type="dxa"/>
            <w:shd w:val="clear" w:color="auto" w:fill="auto"/>
          </w:tcPr>
          <w:p w14:paraId="160BA3C1" w14:textId="77777777" w:rsidR="0098555D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Atropínicos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</w:p>
          <w:p w14:paraId="5795D23E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Anti-histamínicos Antidepressivos tricíclicos</w:t>
            </w:r>
          </w:p>
        </w:tc>
      </w:tr>
      <w:tr w:rsidR="00977CF1" w:rsidRPr="006C423E" w14:paraId="3E71AFC6" w14:textId="77777777" w:rsidTr="00D17810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DDD9C3" w:themeFill="background2" w:themeFillShade="E6"/>
          </w:tcPr>
          <w:p w14:paraId="4B9C86C6" w14:textId="77777777" w:rsidR="00E770C1" w:rsidRPr="00D17810" w:rsidRDefault="00610F4A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D17810">
              <w:rPr>
                <w:rFonts w:ascii="Arial" w:hAnsi="Arial" w:cs="Arial"/>
                <w:color w:val="auto"/>
                <w:sz w:val="18"/>
                <w:szCs w:val="18"/>
              </w:rPr>
              <w:t>Simpatomimética</w:t>
            </w:r>
          </w:p>
        </w:tc>
        <w:tc>
          <w:tcPr>
            <w:tcW w:w="1575" w:type="dxa"/>
            <w:shd w:val="clear" w:color="auto" w:fill="DDD9C3" w:themeFill="background2" w:themeFillShade="E6"/>
          </w:tcPr>
          <w:p w14:paraId="4EEB38CA" w14:textId="77777777" w:rsidR="00E770C1" w:rsidRPr="006C423E" w:rsidRDefault="00610F4A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Hipertermia Hipertensão Taquicardia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Hiperpnéia</w:t>
            </w:r>
            <w:proofErr w:type="spellEnd"/>
          </w:p>
        </w:tc>
        <w:tc>
          <w:tcPr>
            <w:tcW w:w="985" w:type="dxa"/>
            <w:shd w:val="clear" w:color="auto" w:fill="DDD9C3" w:themeFill="background2" w:themeFillShade="E6"/>
          </w:tcPr>
          <w:p w14:paraId="30EE7593" w14:textId="77777777" w:rsidR="00E770C1" w:rsidRPr="006C423E" w:rsidRDefault="00610F4A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Midríase</w:t>
            </w:r>
          </w:p>
        </w:tc>
        <w:tc>
          <w:tcPr>
            <w:tcW w:w="1334" w:type="dxa"/>
            <w:shd w:val="clear" w:color="auto" w:fill="DDD9C3" w:themeFill="background2" w:themeFillShade="E6"/>
          </w:tcPr>
          <w:p w14:paraId="47215A39" w14:textId="77777777" w:rsidR="00E770C1" w:rsidRPr="006C423E" w:rsidRDefault="00610F4A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Agitação Alucinações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Paranóia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Convulsões</w:t>
            </w:r>
          </w:p>
        </w:tc>
        <w:tc>
          <w:tcPr>
            <w:tcW w:w="1699" w:type="dxa"/>
            <w:shd w:val="clear" w:color="auto" w:fill="DDD9C3" w:themeFill="background2" w:themeFillShade="E6"/>
          </w:tcPr>
          <w:p w14:paraId="658F2408" w14:textId="77777777" w:rsidR="00E770C1" w:rsidRPr="006C423E" w:rsidRDefault="00610F4A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Diaforese Tremores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Hiperreflexia</w:t>
            </w:r>
            <w:proofErr w:type="spellEnd"/>
          </w:p>
        </w:tc>
        <w:tc>
          <w:tcPr>
            <w:tcW w:w="1826" w:type="dxa"/>
            <w:shd w:val="clear" w:color="auto" w:fill="DDD9C3" w:themeFill="background2" w:themeFillShade="E6"/>
          </w:tcPr>
          <w:p w14:paraId="3F663341" w14:textId="77777777" w:rsidR="004E23A7" w:rsidRPr="006C423E" w:rsidRDefault="004E23A7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Cocaína Anfetamina Teofilina</w:t>
            </w:r>
          </w:p>
          <w:p w14:paraId="4EC9111D" w14:textId="77777777" w:rsidR="004E23A7" w:rsidRPr="006C423E" w:rsidRDefault="00610F4A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Efedrina </w:t>
            </w:r>
          </w:p>
          <w:p w14:paraId="12A270D6" w14:textId="77777777" w:rsidR="00E770C1" w:rsidRPr="006C423E" w:rsidRDefault="00610F4A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Cafeína</w:t>
            </w:r>
          </w:p>
          <w:p w14:paraId="7CCF7969" w14:textId="77777777" w:rsidR="004E23A7" w:rsidRPr="006C423E" w:rsidRDefault="004E23A7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</w:tc>
      </w:tr>
      <w:tr w:rsidR="00977CF1" w:rsidRPr="006C423E" w14:paraId="4A5E81C8" w14:textId="77777777" w:rsidTr="00D17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  <w:shd w:val="clear" w:color="auto" w:fill="FFFFFF" w:themeFill="background1"/>
          </w:tcPr>
          <w:p w14:paraId="2A7117DF" w14:textId="77777777" w:rsidR="00E770C1" w:rsidRPr="006C423E" w:rsidRDefault="00610F4A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Extrapiramidal</w:t>
            </w:r>
          </w:p>
        </w:tc>
        <w:tc>
          <w:tcPr>
            <w:tcW w:w="1575" w:type="dxa"/>
            <w:shd w:val="clear" w:color="auto" w:fill="FFFFFF" w:themeFill="background1"/>
          </w:tcPr>
          <w:p w14:paraId="4FAD90CA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Não característicos</w:t>
            </w:r>
          </w:p>
        </w:tc>
        <w:tc>
          <w:tcPr>
            <w:tcW w:w="985" w:type="dxa"/>
            <w:shd w:val="clear" w:color="auto" w:fill="FFFFFF" w:themeFill="background1"/>
          </w:tcPr>
          <w:p w14:paraId="509879DC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Midríase</w:t>
            </w:r>
          </w:p>
        </w:tc>
        <w:tc>
          <w:tcPr>
            <w:tcW w:w="1334" w:type="dxa"/>
            <w:shd w:val="clear" w:color="auto" w:fill="FFFFFF" w:themeFill="background1"/>
          </w:tcPr>
          <w:p w14:paraId="0487DD05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Sonolência Crise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oculógira</w:t>
            </w:r>
            <w:proofErr w:type="spellEnd"/>
          </w:p>
        </w:tc>
        <w:tc>
          <w:tcPr>
            <w:tcW w:w="1699" w:type="dxa"/>
            <w:shd w:val="clear" w:color="auto" w:fill="FFFFFF" w:themeFill="background1"/>
          </w:tcPr>
          <w:p w14:paraId="6B36B219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Tremores Hipertonia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musc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.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Opistótono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Trismo</w:t>
            </w:r>
            <w:proofErr w:type="spellEnd"/>
          </w:p>
        </w:tc>
        <w:tc>
          <w:tcPr>
            <w:tcW w:w="1826" w:type="dxa"/>
            <w:shd w:val="clear" w:color="auto" w:fill="FFFFFF" w:themeFill="background1"/>
          </w:tcPr>
          <w:p w14:paraId="2C5B6C82" w14:textId="77777777" w:rsidR="00E770C1" w:rsidRPr="006C423E" w:rsidRDefault="00610F4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Haloperidol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Fenotiazínicos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Metoclopramida</w:t>
            </w:r>
            <w:proofErr w:type="spellEnd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6C423E">
              <w:rPr>
                <w:rFonts w:ascii="Arial" w:hAnsi="Arial" w:cs="Arial"/>
                <w:color w:val="auto"/>
                <w:sz w:val="20"/>
                <w:szCs w:val="20"/>
              </w:rPr>
              <w:t>Bromopida</w:t>
            </w:r>
            <w:proofErr w:type="spellEnd"/>
          </w:p>
        </w:tc>
      </w:tr>
    </w:tbl>
    <w:p w14:paraId="26A5A53B" w14:textId="77777777" w:rsidR="00F95112" w:rsidRPr="006C423E" w:rsidRDefault="00F95112" w:rsidP="006C423E">
      <w:pPr>
        <w:jc w:val="both"/>
        <w:rPr>
          <w:rFonts w:ascii="Arial" w:hAnsi="Arial" w:cs="Arial"/>
          <w:sz w:val="20"/>
          <w:szCs w:val="20"/>
        </w:rPr>
      </w:pPr>
    </w:p>
    <w:p w14:paraId="3BC09E87" w14:textId="77777777" w:rsidR="00323ECC" w:rsidRPr="006C423E" w:rsidRDefault="00323ECC" w:rsidP="006C423E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Exames complementares</w:t>
      </w:r>
    </w:p>
    <w:p w14:paraId="678E6F91" w14:textId="77777777" w:rsidR="00323ECC" w:rsidRPr="006C423E" w:rsidRDefault="00323ECC" w:rsidP="006C423E">
      <w:p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Gerais</w:t>
      </w:r>
    </w:p>
    <w:p w14:paraId="5E5AF54D" w14:textId="77777777" w:rsidR="00323ECC" w:rsidRPr="006C423E" w:rsidRDefault="00323ECC" w:rsidP="006C42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Dependendo do agente envolvido podem ser solicitados exames laboratoriais, ECG, exames de imagem (RX, TC) ou endoscopia digestiva alta (EDA).</w:t>
      </w:r>
    </w:p>
    <w:p w14:paraId="62816CD4" w14:textId="77777777" w:rsidR="00323ECC" w:rsidRPr="006C423E" w:rsidRDefault="00323ECC" w:rsidP="006C423E">
      <w:p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Toxicológicos</w:t>
      </w:r>
    </w:p>
    <w:p w14:paraId="1A38E366" w14:textId="77777777" w:rsidR="00323ECC" w:rsidRPr="006C423E" w:rsidRDefault="000609B1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Direcionados ao agente suspeito</w:t>
      </w:r>
    </w:p>
    <w:p w14:paraId="1378867E" w14:textId="77777777" w:rsidR="00323ECC" w:rsidRPr="001615D3" w:rsidRDefault="001615D3" w:rsidP="001615D3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Tratamento</w:t>
      </w:r>
      <w:r>
        <w:rPr>
          <w:rFonts w:ascii="Arial" w:hAnsi="Arial" w:cs="Arial"/>
          <w:b/>
          <w:sz w:val="24"/>
          <w:szCs w:val="24"/>
        </w:rPr>
        <w:t>:</w:t>
      </w:r>
    </w:p>
    <w:p w14:paraId="11CC395D" w14:textId="77777777" w:rsidR="007B7D2A" w:rsidRPr="006C423E" w:rsidRDefault="00323ECC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O manejo adequado de um paciente com suspeita de intoxicação depende do agente envolvido e da sua toxicidade, assim como do tempo decorrido entre a exposição e o atendimento. Além do suporte, o tratamento envolve medidas específ</w:t>
      </w:r>
      <w:r w:rsidR="00990717" w:rsidRPr="006C423E">
        <w:rPr>
          <w:rFonts w:ascii="Arial" w:hAnsi="Arial" w:cs="Arial"/>
          <w:sz w:val="20"/>
          <w:szCs w:val="20"/>
        </w:rPr>
        <w:t>icas como</w:t>
      </w:r>
      <w:r w:rsidR="00990717" w:rsidRPr="006C423E">
        <w:rPr>
          <w:rFonts w:ascii="Arial" w:hAnsi="Arial" w:cs="Arial"/>
          <w:b/>
          <w:sz w:val="20"/>
          <w:szCs w:val="20"/>
        </w:rPr>
        <w:t xml:space="preserve"> (1) </w:t>
      </w:r>
      <w:r w:rsidRPr="006C423E">
        <w:rPr>
          <w:rFonts w:ascii="Arial" w:hAnsi="Arial" w:cs="Arial"/>
          <w:b/>
          <w:sz w:val="20"/>
          <w:szCs w:val="20"/>
        </w:rPr>
        <w:t xml:space="preserve">descontaminação, </w:t>
      </w:r>
      <w:r w:rsidR="00990717" w:rsidRPr="006C423E">
        <w:rPr>
          <w:rFonts w:ascii="Arial" w:hAnsi="Arial" w:cs="Arial"/>
          <w:b/>
          <w:sz w:val="20"/>
          <w:szCs w:val="20"/>
        </w:rPr>
        <w:t xml:space="preserve">(2) administração de antídotos e (3) </w:t>
      </w:r>
      <w:r w:rsidRPr="006C423E">
        <w:rPr>
          <w:rFonts w:ascii="Arial" w:hAnsi="Arial" w:cs="Arial"/>
          <w:b/>
          <w:sz w:val="20"/>
          <w:szCs w:val="20"/>
        </w:rPr>
        <w:t>técnicas de eliminação</w:t>
      </w:r>
      <w:r w:rsidR="00990717" w:rsidRPr="006C423E">
        <w:rPr>
          <w:rFonts w:ascii="Arial" w:hAnsi="Arial" w:cs="Arial"/>
          <w:b/>
          <w:sz w:val="20"/>
          <w:szCs w:val="20"/>
        </w:rPr>
        <w:t>.</w:t>
      </w:r>
    </w:p>
    <w:p w14:paraId="62C150FE" w14:textId="77777777" w:rsidR="007B7D2A" w:rsidRPr="006C423E" w:rsidRDefault="007B7D2A" w:rsidP="006C423E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Descontaminação</w:t>
      </w:r>
    </w:p>
    <w:p w14:paraId="2D4D008F" w14:textId="77777777" w:rsidR="007B7D2A" w:rsidRPr="006C423E" w:rsidRDefault="00ED24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Visa </w:t>
      </w:r>
      <w:r w:rsidR="007B7D2A" w:rsidRPr="006C423E">
        <w:rPr>
          <w:rFonts w:ascii="Arial" w:hAnsi="Arial" w:cs="Arial"/>
          <w:sz w:val="20"/>
          <w:szCs w:val="20"/>
        </w:rPr>
        <w:t xml:space="preserve">remoção do agente tóxico com o intuito de diminuir a sua absorção. </w:t>
      </w:r>
      <w:r w:rsidRPr="006C423E">
        <w:rPr>
          <w:rFonts w:ascii="Arial" w:hAnsi="Arial" w:cs="Arial"/>
          <w:sz w:val="20"/>
          <w:szCs w:val="20"/>
        </w:rPr>
        <w:t>Tomar</w:t>
      </w:r>
      <w:r w:rsidR="007B7D2A" w:rsidRPr="006C423E">
        <w:rPr>
          <w:rFonts w:ascii="Arial" w:hAnsi="Arial" w:cs="Arial"/>
          <w:sz w:val="20"/>
          <w:szCs w:val="20"/>
        </w:rPr>
        <w:t xml:space="preserve"> as precauções para se proteger da exposição ao agente tóxico.</w:t>
      </w:r>
    </w:p>
    <w:p w14:paraId="7E1B3115" w14:textId="77777777" w:rsidR="007B7D2A" w:rsidRPr="006C423E" w:rsidRDefault="007B7D2A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Os seguintes procedimentos estão indicados, de acordo com a via de exposição:</w:t>
      </w:r>
    </w:p>
    <w:p w14:paraId="7436E93D" w14:textId="77777777" w:rsidR="007B7D2A" w:rsidRPr="006C423E" w:rsidRDefault="007B7D2A" w:rsidP="006C423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Cutânea:</w:t>
      </w:r>
      <w:r w:rsidRPr="006C423E">
        <w:rPr>
          <w:rFonts w:ascii="Arial" w:hAnsi="Arial" w:cs="Arial"/>
          <w:sz w:val="20"/>
          <w:szCs w:val="20"/>
        </w:rPr>
        <w:t xml:space="preserve"> retirar roupas impregnadas com o agente tóxico e lavar a superfície exposta com água em abundância;</w:t>
      </w:r>
    </w:p>
    <w:p w14:paraId="799EB7AD" w14:textId="77777777" w:rsidR="007B7D2A" w:rsidRPr="006C423E" w:rsidRDefault="007B7D2A" w:rsidP="006C423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 xml:space="preserve">Respiratória: </w:t>
      </w:r>
      <w:r w:rsidRPr="006C423E">
        <w:rPr>
          <w:rFonts w:ascii="Arial" w:hAnsi="Arial" w:cs="Arial"/>
          <w:sz w:val="20"/>
          <w:szCs w:val="20"/>
        </w:rPr>
        <w:t>remover a vítima do local da exposição e administrar oxigênio umidificado suplementar;</w:t>
      </w:r>
    </w:p>
    <w:p w14:paraId="58F9650D" w14:textId="77777777" w:rsidR="007B7D2A" w:rsidRPr="006C423E" w:rsidRDefault="007B7D2A" w:rsidP="006C423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lastRenderedPageBreak/>
        <w:t xml:space="preserve">Ocular: </w:t>
      </w:r>
      <w:r w:rsidRPr="006C423E">
        <w:rPr>
          <w:rFonts w:ascii="Arial" w:hAnsi="Arial" w:cs="Arial"/>
          <w:sz w:val="20"/>
          <w:szCs w:val="20"/>
        </w:rPr>
        <w:t>instilar uma ou duas gotas de colírio anestésico no olho afetado e proceder a lavagem com SF 0,9% ou água filtrada, sempre da região medial do olho para a região externa, com as pálpebras abertas durante pelo menos cinco minutos. Solicitar avaliação oftalmológica;</w:t>
      </w:r>
    </w:p>
    <w:p w14:paraId="72A691A4" w14:textId="77777777" w:rsidR="007B7D2A" w:rsidRPr="006C423E" w:rsidRDefault="007B7D2A" w:rsidP="006C423E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 xml:space="preserve">Gastrintestinal (GI): </w:t>
      </w:r>
      <w:r w:rsidRPr="006C423E">
        <w:rPr>
          <w:rFonts w:ascii="Arial" w:hAnsi="Arial" w:cs="Arial"/>
          <w:sz w:val="20"/>
          <w:szCs w:val="20"/>
        </w:rPr>
        <w:t>consiste na remoção do agente tóxico do trato gastrintestinal no intuito de evitar ou diminuir sua absorção.</w:t>
      </w:r>
    </w:p>
    <w:p w14:paraId="7B2E2C52" w14:textId="77777777" w:rsidR="007B7D2A" w:rsidRPr="001615D3" w:rsidRDefault="007B7D2A" w:rsidP="006C423E">
      <w:pPr>
        <w:jc w:val="both"/>
        <w:rPr>
          <w:rFonts w:ascii="Arial" w:hAnsi="Arial" w:cs="Arial"/>
          <w:sz w:val="20"/>
          <w:szCs w:val="20"/>
        </w:rPr>
      </w:pPr>
    </w:p>
    <w:p w14:paraId="35674DC9" w14:textId="77777777" w:rsidR="00ED24C8" w:rsidRPr="001615D3" w:rsidRDefault="00ED24C8" w:rsidP="001615D3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Descontaminação Gastr</w:t>
      </w:r>
      <w:r w:rsidR="00E5274F" w:rsidRPr="001615D3">
        <w:rPr>
          <w:rFonts w:ascii="Arial" w:hAnsi="Arial" w:cs="Arial"/>
          <w:b/>
          <w:sz w:val="24"/>
          <w:szCs w:val="24"/>
        </w:rPr>
        <w:t>o</w:t>
      </w:r>
      <w:r w:rsidRPr="001615D3">
        <w:rPr>
          <w:rFonts w:ascii="Arial" w:hAnsi="Arial" w:cs="Arial"/>
          <w:b/>
          <w:sz w:val="24"/>
          <w:szCs w:val="24"/>
        </w:rPr>
        <w:t>intestinal</w:t>
      </w:r>
      <w:r w:rsidR="001615D3" w:rsidRPr="001615D3">
        <w:rPr>
          <w:rFonts w:ascii="Arial" w:hAnsi="Arial" w:cs="Arial"/>
          <w:b/>
          <w:sz w:val="24"/>
          <w:szCs w:val="24"/>
        </w:rPr>
        <w:t>:</w:t>
      </w:r>
    </w:p>
    <w:p w14:paraId="571FE592" w14:textId="77777777" w:rsidR="00ED24C8" w:rsidRPr="006C423E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A indicação depende da substância ingerida, do tempo decorrido da ingestão, dos sintomas apresentados e do potencial de gravidade do caso. Recomenda-se avaliação criteriosa do nível de consciência do paciente, antes de iniciar o procedimento e sempre considerar intubação orotraqueal, caso julgar necessário, para proteção de vias aéreas. </w:t>
      </w:r>
    </w:p>
    <w:p w14:paraId="7DB6EBCD" w14:textId="77777777" w:rsidR="00ED24C8" w:rsidRPr="006C423E" w:rsidRDefault="00ED24C8" w:rsidP="006C423E">
      <w:p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Indicações:</w:t>
      </w:r>
    </w:p>
    <w:p w14:paraId="6D810889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Na ausência de fatores de risco para complicações, como torpor e sonolência;</w:t>
      </w:r>
    </w:p>
    <w:p w14:paraId="0A3173B9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Na ingestão de quantidades potencialmente tóxicas da(s) substância(s);</w:t>
      </w:r>
    </w:p>
    <w:p w14:paraId="26312EBD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Nas ingestões recentes, isto é, até 1 a 2 horas da exposição;</w:t>
      </w:r>
    </w:p>
    <w:p w14:paraId="47DADAC8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Nos casos envolvendo agentes que diminuam o trânsito intestinal (anticolinérgicos, fenobarbital, etc.) ou de substâncias de liberação prolongada, a indicação da descontaminação pode ser mais tardia.</w:t>
      </w:r>
    </w:p>
    <w:p w14:paraId="3208077E" w14:textId="77777777" w:rsidR="00ED24C8" w:rsidRPr="006C423E" w:rsidRDefault="00ED24C8" w:rsidP="001615D3">
      <w:p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Habitualmente, o procedimento divide-se em duas etapas: lavagem gástrica </w:t>
      </w:r>
      <w:r w:rsidR="00990717" w:rsidRPr="006C423E">
        <w:rPr>
          <w:rFonts w:ascii="Arial" w:hAnsi="Arial" w:cs="Arial"/>
          <w:sz w:val="20"/>
          <w:szCs w:val="20"/>
        </w:rPr>
        <w:t xml:space="preserve">e </w:t>
      </w:r>
      <w:r w:rsidRPr="006C423E">
        <w:rPr>
          <w:rFonts w:ascii="Arial" w:hAnsi="Arial" w:cs="Arial"/>
          <w:sz w:val="20"/>
          <w:szCs w:val="20"/>
        </w:rPr>
        <w:t>carvão ativado:</w:t>
      </w:r>
    </w:p>
    <w:p w14:paraId="791448A2" w14:textId="77777777" w:rsidR="00ED24C8" w:rsidRPr="006C423E" w:rsidRDefault="00ED24C8" w:rsidP="006C423E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Lavagem gástrica (LG)</w:t>
      </w:r>
    </w:p>
    <w:p w14:paraId="1A336338" w14:textId="77777777" w:rsidR="00ED24C8" w:rsidRPr="006C423E" w:rsidRDefault="00ED24C8" w:rsidP="006C423E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Consiste na infusão e posterior aspiração de soro fisiológico a 0,9% (SF 0,9%) através de sonda nasogástrica ou </w:t>
      </w:r>
      <w:proofErr w:type="spellStart"/>
      <w:r w:rsidRPr="006C423E">
        <w:rPr>
          <w:rFonts w:ascii="Arial" w:hAnsi="Arial" w:cs="Arial"/>
          <w:sz w:val="20"/>
          <w:szCs w:val="20"/>
        </w:rPr>
        <w:t>orogástrica</w:t>
      </w:r>
      <w:proofErr w:type="spellEnd"/>
      <w:r w:rsidRPr="006C423E">
        <w:rPr>
          <w:rFonts w:ascii="Arial" w:hAnsi="Arial" w:cs="Arial"/>
          <w:sz w:val="20"/>
          <w:szCs w:val="20"/>
        </w:rPr>
        <w:t>, com o objetivo de retirar a substância ingerida. Sempre avaliar criteriosamente a relação risco x benefício antes de iniciar o procedimento, pois há grande risco de aspiração.</w:t>
      </w:r>
    </w:p>
    <w:p w14:paraId="40721244" w14:textId="77777777" w:rsidR="001615D3" w:rsidRDefault="00ED24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Contraindicações</w:t>
      </w:r>
      <w:r w:rsidRPr="006C423E">
        <w:rPr>
          <w:rFonts w:ascii="Arial" w:hAnsi="Arial" w:cs="Arial"/>
          <w:sz w:val="20"/>
          <w:szCs w:val="20"/>
        </w:rPr>
        <w:t>:</w:t>
      </w:r>
      <w:r w:rsidR="001615D3">
        <w:rPr>
          <w:rFonts w:ascii="Arial" w:hAnsi="Arial" w:cs="Arial"/>
          <w:sz w:val="20"/>
          <w:szCs w:val="20"/>
        </w:rPr>
        <w:t xml:space="preserve"> </w:t>
      </w:r>
    </w:p>
    <w:p w14:paraId="73339A02" w14:textId="77777777" w:rsidR="00ED24C8" w:rsidRPr="006C423E" w:rsidRDefault="001615D3" w:rsidP="006C423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ED24C8" w:rsidRPr="006C423E">
        <w:rPr>
          <w:rFonts w:ascii="Arial" w:hAnsi="Arial" w:cs="Arial"/>
          <w:sz w:val="20"/>
          <w:szCs w:val="20"/>
        </w:rPr>
        <w:t>ngestão de cáusticos, derivados do petróleo, solventes e quando há risco de perfuração e sangramentos. Evitar a infusão de volumes superiores aos indicados, pois pode facilitar a passagem da substância ingerida pelo piloro e aumentar a absorção do agente tóxico.</w:t>
      </w:r>
    </w:p>
    <w:p w14:paraId="1DA840BB" w14:textId="77777777" w:rsidR="001615D3" w:rsidRDefault="00366D7E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Técnica</w:t>
      </w:r>
      <w:r w:rsidR="00ED24C8" w:rsidRPr="006C423E">
        <w:rPr>
          <w:rFonts w:ascii="Arial" w:hAnsi="Arial" w:cs="Arial"/>
          <w:b/>
          <w:sz w:val="20"/>
          <w:szCs w:val="20"/>
        </w:rPr>
        <w:t>:</w:t>
      </w:r>
      <w:r w:rsidR="001615D3">
        <w:rPr>
          <w:rFonts w:ascii="Arial" w:hAnsi="Arial" w:cs="Arial"/>
          <w:sz w:val="20"/>
          <w:szCs w:val="20"/>
        </w:rPr>
        <w:t xml:space="preserve"> </w:t>
      </w:r>
    </w:p>
    <w:p w14:paraId="5AC7FF1A" w14:textId="77777777" w:rsidR="00ED24C8" w:rsidRPr="006C423E" w:rsidRDefault="001615D3" w:rsidP="006C423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</w:t>
      </w:r>
      <w:r w:rsidR="00ED24C8" w:rsidRPr="006C423E">
        <w:rPr>
          <w:rFonts w:ascii="Arial" w:hAnsi="Arial" w:cs="Arial"/>
          <w:sz w:val="20"/>
          <w:szCs w:val="20"/>
        </w:rPr>
        <w:t>sar sonda de grande calibre, adultos de 18 a 22 e crianças de 10 a 14, mantendo o paciente em decúbito lateral esquerdo para facilitar a retirada do agente tóxico, e diminuir a velocidade do esvaziamento gástrico para o intestino.</w:t>
      </w:r>
    </w:p>
    <w:p w14:paraId="459278FD" w14:textId="77777777" w:rsidR="00ED24C8" w:rsidRPr="006C423E" w:rsidRDefault="00ED24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Infundir e retirar sucessivamente o volume de SF 0,9% recomendado de acordo com a faixa etária, até completar o volume total recomendado ou até que se obtenha retorno límpido, da seguinte forma:</w:t>
      </w:r>
    </w:p>
    <w:p w14:paraId="1F385502" w14:textId="77777777" w:rsidR="00ED24C8" w:rsidRPr="001615D3" w:rsidRDefault="00ED24C8" w:rsidP="001615D3">
      <w:pPr>
        <w:jc w:val="both"/>
        <w:rPr>
          <w:rFonts w:ascii="Arial" w:hAnsi="Arial" w:cs="Arial"/>
          <w:b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 xml:space="preserve">Crianças: 10 </w:t>
      </w:r>
      <w:proofErr w:type="spellStart"/>
      <w:r w:rsidRPr="001615D3">
        <w:rPr>
          <w:rFonts w:ascii="Arial" w:hAnsi="Arial" w:cs="Arial"/>
          <w:b/>
          <w:sz w:val="20"/>
          <w:szCs w:val="20"/>
        </w:rPr>
        <w:t>mL</w:t>
      </w:r>
      <w:proofErr w:type="spellEnd"/>
      <w:r w:rsidRPr="001615D3">
        <w:rPr>
          <w:rFonts w:ascii="Arial" w:hAnsi="Arial" w:cs="Arial"/>
          <w:b/>
          <w:sz w:val="20"/>
          <w:szCs w:val="20"/>
        </w:rPr>
        <w:t>/Kg por infusão até volume total de:</w:t>
      </w:r>
    </w:p>
    <w:p w14:paraId="4F21F210" w14:textId="77777777" w:rsidR="00ED24C8" w:rsidRPr="006C423E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Escolares: 4 a 5 L.</w:t>
      </w:r>
    </w:p>
    <w:p w14:paraId="64501C76" w14:textId="77777777" w:rsidR="00ED24C8" w:rsidRPr="006C423E" w:rsidRDefault="00ED24C8" w:rsidP="006C423E">
      <w:pPr>
        <w:ind w:left="360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lastRenderedPageBreak/>
        <w:t>Lactentes: 2 a 3 L.</w:t>
      </w:r>
    </w:p>
    <w:p w14:paraId="7060D419" w14:textId="77777777" w:rsidR="00ED24C8" w:rsidRPr="006C423E" w:rsidRDefault="00ED24C8" w:rsidP="006C423E">
      <w:pPr>
        <w:ind w:left="360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RN: 0,5 L.</w:t>
      </w:r>
    </w:p>
    <w:p w14:paraId="4DB5BF3D" w14:textId="77777777" w:rsidR="00ED24C8" w:rsidRDefault="00ED24C8" w:rsidP="001615D3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Adultos: 250 </w:t>
      </w:r>
      <w:proofErr w:type="spellStart"/>
      <w:r w:rsidRPr="006C423E">
        <w:rPr>
          <w:rFonts w:ascii="Arial" w:hAnsi="Arial" w:cs="Arial"/>
          <w:sz w:val="20"/>
          <w:szCs w:val="20"/>
        </w:rPr>
        <w:t>mL</w:t>
      </w:r>
      <w:proofErr w:type="spellEnd"/>
      <w:r w:rsidRPr="006C423E">
        <w:rPr>
          <w:rFonts w:ascii="Arial" w:hAnsi="Arial" w:cs="Arial"/>
          <w:sz w:val="20"/>
          <w:szCs w:val="20"/>
        </w:rPr>
        <w:t xml:space="preserve"> por vez até um volume total de 6 a 8 L ou até que retorne límpido.</w:t>
      </w:r>
    </w:p>
    <w:p w14:paraId="50766040" w14:textId="77777777" w:rsidR="001615D3" w:rsidRPr="001615D3" w:rsidRDefault="001615D3" w:rsidP="001615D3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68574FF7" w14:textId="77777777" w:rsidR="00ED24C8" w:rsidRPr="006C423E" w:rsidRDefault="00ED24C8" w:rsidP="006C423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Carvão ativado (CA)</w:t>
      </w:r>
    </w:p>
    <w:p w14:paraId="78A392F7" w14:textId="77777777" w:rsidR="00ED24C8" w:rsidRPr="006C423E" w:rsidRDefault="00ED24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 </w:t>
      </w:r>
      <w:r w:rsidR="00990717" w:rsidRPr="006C423E">
        <w:rPr>
          <w:rFonts w:ascii="Arial" w:hAnsi="Arial" w:cs="Arial"/>
          <w:sz w:val="20"/>
          <w:szCs w:val="20"/>
        </w:rPr>
        <w:tab/>
      </w:r>
      <w:r w:rsidRPr="006C423E">
        <w:rPr>
          <w:rFonts w:ascii="Arial" w:hAnsi="Arial" w:cs="Arial"/>
          <w:sz w:val="20"/>
          <w:szCs w:val="20"/>
        </w:rPr>
        <w:t>É um pó obtido da pirólise de material orgânico, com partículas porosas com alto poder adsorvente do agente tóxico, que previne a sua absorção pelo organismo. Geralmente é utilizado após a LG, mas pode ser utilizado como medida única de descontaminação GI. Nestes casos, a administração pode ser por via oral sem necessidade da passagem de sonda nasogástrica.</w:t>
      </w:r>
    </w:p>
    <w:p w14:paraId="3649FE93" w14:textId="77777777" w:rsidR="00ED24C8" w:rsidRPr="006C423E" w:rsidRDefault="00ED24C8" w:rsidP="006C42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Na maioria das vezes deverá ser utilizado em dose única, porém pode ser administrado em doses múltiplas como medida de eliminação, em exposições a agentes de açã</w:t>
      </w:r>
      <w:r w:rsidR="004800ED" w:rsidRPr="006C423E">
        <w:rPr>
          <w:rFonts w:ascii="Arial" w:hAnsi="Arial" w:cs="Arial"/>
          <w:sz w:val="20"/>
          <w:szCs w:val="20"/>
        </w:rPr>
        <w:t xml:space="preserve">o prolongada ou com circulação </w:t>
      </w:r>
      <w:proofErr w:type="spellStart"/>
      <w:r w:rsidR="004800ED" w:rsidRPr="006C423E">
        <w:rPr>
          <w:rFonts w:ascii="Arial" w:hAnsi="Arial" w:cs="Arial"/>
          <w:sz w:val="20"/>
          <w:szCs w:val="20"/>
        </w:rPr>
        <w:t>e</w:t>
      </w:r>
      <w:r w:rsidRPr="006C423E">
        <w:rPr>
          <w:rFonts w:ascii="Arial" w:hAnsi="Arial" w:cs="Arial"/>
          <w:sz w:val="20"/>
          <w:szCs w:val="20"/>
        </w:rPr>
        <w:t>nterohepática</w:t>
      </w:r>
      <w:proofErr w:type="spellEnd"/>
      <w:r w:rsidRPr="006C423E">
        <w:rPr>
          <w:rFonts w:ascii="Arial" w:hAnsi="Arial" w:cs="Arial"/>
          <w:sz w:val="20"/>
          <w:szCs w:val="20"/>
        </w:rPr>
        <w:t xml:space="preserve">, como o fenobarbital, </w:t>
      </w:r>
      <w:proofErr w:type="spellStart"/>
      <w:r w:rsidRPr="006C423E">
        <w:rPr>
          <w:rFonts w:ascii="Arial" w:hAnsi="Arial" w:cs="Arial"/>
          <w:sz w:val="20"/>
          <w:szCs w:val="20"/>
        </w:rPr>
        <w:t>c</w:t>
      </w:r>
      <w:r w:rsidR="004800ED" w:rsidRPr="006C423E">
        <w:rPr>
          <w:rFonts w:ascii="Arial" w:hAnsi="Arial" w:cs="Arial"/>
          <w:sz w:val="20"/>
          <w:szCs w:val="20"/>
        </w:rPr>
        <w:t>arbamazepina</w:t>
      </w:r>
      <w:proofErr w:type="spellEnd"/>
      <w:r w:rsidR="004800ED" w:rsidRPr="006C423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800ED" w:rsidRPr="006C423E">
        <w:rPr>
          <w:rFonts w:ascii="Arial" w:hAnsi="Arial" w:cs="Arial"/>
          <w:sz w:val="20"/>
          <w:szCs w:val="20"/>
        </w:rPr>
        <w:t>dapsona</w:t>
      </w:r>
      <w:proofErr w:type="spellEnd"/>
      <w:r w:rsidR="004800ED" w:rsidRPr="006C423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800ED" w:rsidRPr="006C423E">
        <w:rPr>
          <w:rFonts w:ascii="Arial" w:hAnsi="Arial" w:cs="Arial"/>
          <w:sz w:val="20"/>
          <w:szCs w:val="20"/>
        </w:rPr>
        <w:t>clorprop</w:t>
      </w:r>
      <w:r w:rsidRPr="006C423E">
        <w:rPr>
          <w:rFonts w:ascii="Arial" w:hAnsi="Arial" w:cs="Arial"/>
          <w:sz w:val="20"/>
          <w:szCs w:val="20"/>
        </w:rPr>
        <w:t>amida</w:t>
      </w:r>
      <w:proofErr w:type="spellEnd"/>
      <w:r w:rsidRPr="006C423E">
        <w:rPr>
          <w:rFonts w:ascii="Arial" w:hAnsi="Arial" w:cs="Arial"/>
          <w:sz w:val="20"/>
          <w:szCs w:val="20"/>
        </w:rPr>
        <w:t xml:space="preserve">, dentre outros. </w:t>
      </w:r>
    </w:p>
    <w:p w14:paraId="4FB81628" w14:textId="77777777" w:rsidR="00ED24C8" w:rsidRPr="001615D3" w:rsidRDefault="00ED24C8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 xml:space="preserve">Formas de administração: </w:t>
      </w:r>
    </w:p>
    <w:p w14:paraId="6436E4AE" w14:textId="77777777" w:rsidR="00ED24C8" w:rsidRPr="006C423E" w:rsidRDefault="00ED24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Dose Única:</w:t>
      </w:r>
    </w:p>
    <w:p w14:paraId="28EFD37C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 xml:space="preserve">Crianças: 1 g/kg, em uma suspensão com água ou SF 0,9% na proporção de 4-8 </w:t>
      </w:r>
      <w:proofErr w:type="spellStart"/>
      <w:r w:rsidRPr="001615D3">
        <w:rPr>
          <w:rFonts w:ascii="Arial" w:hAnsi="Arial" w:cs="Arial"/>
          <w:sz w:val="20"/>
          <w:szCs w:val="20"/>
        </w:rPr>
        <w:t>mL</w:t>
      </w:r>
      <w:proofErr w:type="spellEnd"/>
      <w:r w:rsidRPr="001615D3">
        <w:rPr>
          <w:rFonts w:ascii="Arial" w:hAnsi="Arial" w:cs="Arial"/>
          <w:sz w:val="20"/>
          <w:szCs w:val="20"/>
        </w:rPr>
        <w:t>/g.</w:t>
      </w:r>
    </w:p>
    <w:p w14:paraId="13910195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 xml:space="preserve">Adultos: 50 g em 250 </w:t>
      </w:r>
      <w:proofErr w:type="spellStart"/>
      <w:r w:rsidRPr="001615D3">
        <w:rPr>
          <w:rFonts w:ascii="Arial" w:hAnsi="Arial" w:cs="Arial"/>
          <w:sz w:val="20"/>
          <w:szCs w:val="20"/>
        </w:rPr>
        <w:t>mL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de água ou SF 0,9%.</w:t>
      </w:r>
    </w:p>
    <w:p w14:paraId="3CF67A2F" w14:textId="77777777" w:rsidR="00ED24C8" w:rsidRPr="006C423E" w:rsidRDefault="00ED24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Múltiplas doses:</w:t>
      </w:r>
    </w:p>
    <w:p w14:paraId="56BA3ABC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 xml:space="preserve">Intervalos de 4/4 horas; associar catártico, preferencialmente salino, junto à 3ª dose, e repetir quando necessário. Utilizar o catártico como parte da suspensão do CA. Exemplo: utilizar 100 </w:t>
      </w:r>
      <w:proofErr w:type="spellStart"/>
      <w:r w:rsidRPr="001615D3">
        <w:rPr>
          <w:rFonts w:ascii="Arial" w:hAnsi="Arial" w:cs="Arial"/>
          <w:sz w:val="20"/>
          <w:szCs w:val="20"/>
        </w:rPr>
        <w:t>mL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Sulfato de Magnésio 10% (10 g), acrescentar 150 </w:t>
      </w:r>
      <w:proofErr w:type="spellStart"/>
      <w:r w:rsidRPr="001615D3">
        <w:rPr>
          <w:rFonts w:ascii="Arial" w:hAnsi="Arial" w:cs="Arial"/>
          <w:sz w:val="20"/>
          <w:szCs w:val="20"/>
        </w:rPr>
        <w:t>mL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de SF 0,9% (total 250 </w:t>
      </w:r>
      <w:proofErr w:type="spellStart"/>
      <w:r w:rsidRPr="001615D3">
        <w:rPr>
          <w:rFonts w:ascii="Arial" w:hAnsi="Arial" w:cs="Arial"/>
          <w:sz w:val="20"/>
          <w:szCs w:val="20"/>
        </w:rPr>
        <w:t>mL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) </w:t>
      </w:r>
      <w:proofErr w:type="gramStart"/>
      <w:r w:rsidRPr="001615D3">
        <w:rPr>
          <w:rFonts w:ascii="Arial" w:hAnsi="Arial" w:cs="Arial"/>
          <w:sz w:val="20"/>
          <w:szCs w:val="20"/>
        </w:rPr>
        <w:t>e  acrescentar</w:t>
      </w:r>
      <w:proofErr w:type="gramEnd"/>
      <w:r w:rsidRPr="001615D3">
        <w:rPr>
          <w:rFonts w:ascii="Arial" w:hAnsi="Arial" w:cs="Arial"/>
          <w:sz w:val="20"/>
          <w:szCs w:val="20"/>
        </w:rPr>
        <w:t xml:space="preserve"> 50 g de Carvão Ativado (suspensão 1:5). </w:t>
      </w:r>
    </w:p>
    <w:p w14:paraId="416C1A16" w14:textId="77777777" w:rsidR="00ED24C8" w:rsidRPr="001615D3" w:rsidRDefault="00ED24C8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Contraindicações:</w:t>
      </w:r>
    </w:p>
    <w:p w14:paraId="6B318506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RN, gestantes ou pacientes muito debilitados, cirurgia abdominal recente, administração de antídotos por VO.</w:t>
      </w:r>
    </w:p>
    <w:p w14:paraId="65C91882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Pacientes que ingeriram cáusticos ou solventes ou que estão com obstrução intestinal.</w:t>
      </w:r>
    </w:p>
    <w:p w14:paraId="6EBE31A1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Pacientes intoxicados com substâncias que não são efetivamente adsorvidas pelo carvão, como os ácidos, álcalis, álcoois, cianeto e metais como lítio, ferro, entre outros.</w:t>
      </w:r>
    </w:p>
    <w:p w14:paraId="1182D7BD" w14:textId="77777777" w:rsidR="00ED24C8" w:rsidRPr="001615D3" w:rsidRDefault="00ED24C8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Complicações:</w:t>
      </w:r>
    </w:p>
    <w:p w14:paraId="639B3703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Constipação e impactação intestinal, principalmente quando utilizado em doses múltiplas.</w:t>
      </w:r>
    </w:p>
    <w:p w14:paraId="549A679F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1615D3">
        <w:rPr>
          <w:rFonts w:ascii="Arial" w:hAnsi="Arial" w:cs="Arial"/>
          <w:sz w:val="20"/>
          <w:szCs w:val="20"/>
        </w:rPr>
        <w:t>Broncoaspiração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, especialmente quando realizado em pacientes </w:t>
      </w:r>
      <w:proofErr w:type="spellStart"/>
      <w:r w:rsidRPr="001615D3">
        <w:rPr>
          <w:rFonts w:ascii="Arial" w:hAnsi="Arial" w:cs="Arial"/>
          <w:sz w:val="20"/>
          <w:szCs w:val="20"/>
        </w:rPr>
        <w:t>torporosos</w:t>
      </w:r>
      <w:proofErr w:type="spellEnd"/>
      <w:r w:rsidRPr="001615D3">
        <w:rPr>
          <w:rFonts w:ascii="Arial" w:hAnsi="Arial" w:cs="Arial"/>
          <w:sz w:val="20"/>
          <w:szCs w:val="20"/>
        </w:rPr>
        <w:t>, sem a proteção da via aérea.</w:t>
      </w:r>
    </w:p>
    <w:p w14:paraId="4286306E" w14:textId="77777777" w:rsidR="00ED24C8" w:rsidRPr="001615D3" w:rsidRDefault="00990717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Lavagem intestinal</w:t>
      </w:r>
      <w:r w:rsidR="001615D3" w:rsidRPr="001615D3">
        <w:rPr>
          <w:rFonts w:ascii="Arial" w:hAnsi="Arial" w:cs="Arial"/>
          <w:b/>
          <w:sz w:val="24"/>
          <w:szCs w:val="24"/>
        </w:rPr>
        <w:t>:</w:t>
      </w:r>
    </w:p>
    <w:p w14:paraId="30FCB47E" w14:textId="77777777" w:rsidR="00E5274F" w:rsidRDefault="00ED24C8" w:rsidP="006C423E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Consiste na administração de solução de polietilenoglicol (PEG) via sonda </w:t>
      </w:r>
      <w:proofErr w:type="spellStart"/>
      <w:r w:rsidRPr="006C423E">
        <w:rPr>
          <w:rFonts w:ascii="Arial" w:hAnsi="Arial" w:cs="Arial"/>
          <w:sz w:val="20"/>
          <w:szCs w:val="20"/>
        </w:rPr>
        <w:t>naso</w:t>
      </w:r>
      <w:proofErr w:type="spellEnd"/>
      <w:r w:rsidRPr="006C423E">
        <w:rPr>
          <w:rFonts w:ascii="Arial" w:hAnsi="Arial" w:cs="Arial"/>
          <w:sz w:val="20"/>
          <w:szCs w:val="20"/>
        </w:rPr>
        <w:t>-enteral para induzir a eliminação do agente através do trato gastr</w:t>
      </w:r>
      <w:r w:rsidR="00E5274F" w:rsidRPr="006C423E">
        <w:rPr>
          <w:rFonts w:ascii="Arial" w:hAnsi="Arial" w:cs="Arial"/>
          <w:sz w:val="20"/>
          <w:szCs w:val="20"/>
        </w:rPr>
        <w:t>o</w:t>
      </w:r>
      <w:r w:rsidRPr="006C423E">
        <w:rPr>
          <w:rFonts w:ascii="Arial" w:hAnsi="Arial" w:cs="Arial"/>
          <w:sz w:val="20"/>
          <w:szCs w:val="20"/>
        </w:rPr>
        <w:t xml:space="preserve">intestinal pelas fezes. </w:t>
      </w:r>
    </w:p>
    <w:p w14:paraId="69A51904" w14:textId="77777777" w:rsidR="001615D3" w:rsidRPr="006C423E" w:rsidRDefault="001615D3" w:rsidP="006C423E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7DBDA716" w14:textId="77777777" w:rsidR="001615D3" w:rsidRPr="001615D3" w:rsidRDefault="00E5274F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lastRenderedPageBreak/>
        <w:t>Indicação:</w:t>
      </w:r>
      <w:r w:rsidRPr="001615D3">
        <w:rPr>
          <w:rFonts w:ascii="Arial" w:hAnsi="Arial" w:cs="Arial"/>
          <w:sz w:val="24"/>
          <w:szCs w:val="24"/>
        </w:rPr>
        <w:t xml:space="preserve"> </w:t>
      </w:r>
    </w:p>
    <w:p w14:paraId="6FBFE1C3" w14:textId="77777777" w:rsidR="00E5274F" w:rsidRPr="006C423E" w:rsidRDefault="001615D3" w:rsidP="006C423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ED24C8" w:rsidRPr="006C423E">
        <w:rPr>
          <w:rFonts w:ascii="Arial" w:hAnsi="Arial" w:cs="Arial"/>
          <w:sz w:val="20"/>
          <w:szCs w:val="20"/>
        </w:rPr>
        <w:t>ngestão de pacotes contendo drogas (</w:t>
      </w:r>
      <w:proofErr w:type="spellStart"/>
      <w:r w:rsidR="00ED24C8" w:rsidRPr="006C423E">
        <w:rPr>
          <w:rFonts w:ascii="Arial" w:hAnsi="Arial" w:cs="Arial"/>
          <w:sz w:val="20"/>
          <w:szCs w:val="20"/>
        </w:rPr>
        <w:t>body-packing</w:t>
      </w:r>
      <w:proofErr w:type="spellEnd"/>
      <w:r w:rsidR="00ED24C8" w:rsidRPr="006C423E">
        <w:rPr>
          <w:rFonts w:ascii="Arial" w:hAnsi="Arial" w:cs="Arial"/>
          <w:sz w:val="20"/>
          <w:szCs w:val="20"/>
        </w:rPr>
        <w:t xml:space="preserve">) ou de quantidades potencialmente tóxicas de substâncias não adsorvidas pelo carvão ativado (ex.; ferro, lítio, </w:t>
      </w:r>
      <w:proofErr w:type="spellStart"/>
      <w:r w:rsidR="00ED24C8" w:rsidRPr="006C423E">
        <w:rPr>
          <w:rFonts w:ascii="Arial" w:hAnsi="Arial" w:cs="Arial"/>
          <w:sz w:val="20"/>
          <w:szCs w:val="20"/>
        </w:rPr>
        <w:t>etc</w:t>
      </w:r>
      <w:proofErr w:type="spellEnd"/>
      <w:r w:rsidR="00ED24C8" w:rsidRPr="006C423E">
        <w:rPr>
          <w:rFonts w:ascii="Arial" w:hAnsi="Arial" w:cs="Arial"/>
          <w:sz w:val="20"/>
          <w:szCs w:val="20"/>
        </w:rPr>
        <w:t>).</w:t>
      </w:r>
      <w:r w:rsidR="00E5274F" w:rsidRPr="006C423E">
        <w:rPr>
          <w:rFonts w:ascii="Arial" w:hAnsi="Arial" w:cs="Arial"/>
          <w:sz w:val="20"/>
          <w:szCs w:val="20"/>
        </w:rPr>
        <w:t xml:space="preserve"> Portanto, raramente é utilizado em pediatria. </w:t>
      </w:r>
      <w:r w:rsidR="00ED24C8" w:rsidRPr="006C423E">
        <w:rPr>
          <w:rFonts w:ascii="Arial" w:hAnsi="Arial" w:cs="Arial"/>
          <w:sz w:val="20"/>
          <w:szCs w:val="20"/>
        </w:rPr>
        <w:t xml:space="preserve"> </w:t>
      </w:r>
    </w:p>
    <w:p w14:paraId="2F44EFE6" w14:textId="77777777" w:rsidR="001615D3" w:rsidRPr="001615D3" w:rsidRDefault="00E5274F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Contraindicação:</w:t>
      </w:r>
      <w:r w:rsidRPr="001615D3">
        <w:rPr>
          <w:rFonts w:ascii="Arial" w:hAnsi="Arial" w:cs="Arial"/>
          <w:sz w:val="24"/>
          <w:szCs w:val="24"/>
        </w:rPr>
        <w:t xml:space="preserve"> </w:t>
      </w:r>
    </w:p>
    <w:p w14:paraId="02B4205A" w14:textId="77777777" w:rsidR="00B669D9" w:rsidRPr="006C423E" w:rsidRDefault="001615D3" w:rsidP="006C423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ED24C8" w:rsidRPr="006C423E">
        <w:rPr>
          <w:rFonts w:ascii="Arial" w:hAnsi="Arial" w:cs="Arial"/>
          <w:sz w:val="20"/>
          <w:szCs w:val="20"/>
        </w:rPr>
        <w:t xml:space="preserve">resença de íleo paralítico, perfuração gastrintestinal, hemorragia gastrintestinal e instabilidade hemodinâmica. </w:t>
      </w:r>
    </w:p>
    <w:p w14:paraId="5349CF59" w14:textId="77777777" w:rsidR="001615D3" w:rsidRPr="001615D3" w:rsidRDefault="00B669D9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Dose recomendada</w:t>
      </w:r>
      <w:r w:rsidR="00ED24C8" w:rsidRPr="001615D3">
        <w:rPr>
          <w:rFonts w:ascii="Arial" w:hAnsi="Arial" w:cs="Arial"/>
          <w:b/>
          <w:sz w:val="24"/>
          <w:szCs w:val="24"/>
        </w:rPr>
        <w:t>:</w:t>
      </w:r>
    </w:p>
    <w:p w14:paraId="51A45B15" w14:textId="77777777" w:rsidR="00ED24C8" w:rsidRPr="006C423E" w:rsidRDefault="00ED24C8" w:rsidP="001615D3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Crianças de 9 meses a 6 anos: 500 </w:t>
      </w:r>
      <w:proofErr w:type="spellStart"/>
      <w:r w:rsidRPr="006C423E">
        <w:rPr>
          <w:rFonts w:ascii="Arial" w:hAnsi="Arial" w:cs="Arial"/>
          <w:sz w:val="20"/>
          <w:szCs w:val="20"/>
        </w:rPr>
        <w:t>mL</w:t>
      </w:r>
      <w:proofErr w:type="spellEnd"/>
      <w:r w:rsidRPr="006C423E">
        <w:rPr>
          <w:rFonts w:ascii="Arial" w:hAnsi="Arial" w:cs="Arial"/>
          <w:sz w:val="20"/>
          <w:szCs w:val="20"/>
        </w:rPr>
        <w:t>/h.</w:t>
      </w:r>
    </w:p>
    <w:p w14:paraId="294705A1" w14:textId="77777777" w:rsidR="00ED24C8" w:rsidRPr="006C423E" w:rsidRDefault="00ED24C8" w:rsidP="001615D3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Crianças de 6 a 12 anos: 1000 </w:t>
      </w:r>
      <w:proofErr w:type="spellStart"/>
      <w:r w:rsidRPr="006C423E">
        <w:rPr>
          <w:rFonts w:ascii="Arial" w:hAnsi="Arial" w:cs="Arial"/>
          <w:sz w:val="20"/>
          <w:szCs w:val="20"/>
        </w:rPr>
        <w:t>mL</w:t>
      </w:r>
      <w:proofErr w:type="spellEnd"/>
      <w:r w:rsidRPr="006C423E">
        <w:rPr>
          <w:rFonts w:ascii="Arial" w:hAnsi="Arial" w:cs="Arial"/>
          <w:sz w:val="20"/>
          <w:szCs w:val="20"/>
        </w:rPr>
        <w:t>/h.</w:t>
      </w:r>
    </w:p>
    <w:p w14:paraId="24AFB287" w14:textId="77777777" w:rsidR="00ED24C8" w:rsidRPr="006C423E" w:rsidRDefault="00ED24C8" w:rsidP="001615D3">
      <w:pPr>
        <w:pStyle w:val="PargrafodaLista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Adolescentes e adultos: 1500 a 2000 </w:t>
      </w:r>
      <w:proofErr w:type="spellStart"/>
      <w:r w:rsidRPr="006C423E">
        <w:rPr>
          <w:rFonts w:ascii="Arial" w:hAnsi="Arial" w:cs="Arial"/>
          <w:sz w:val="20"/>
          <w:szCs w:val="20"/>
        </w:rPr>
        <w:t>mL</w:t>
      </w:r>
      <w:proofErr w:type="spellEnd"/>
      <w:r w:rsidRPr="006C423E">
        <w:rPr>
          <w:rFonts w:ascii="Arial" w:hAnsi="Arial" w:cs="Arial"/>
          <w:sz w:val="20"/>
          <w:szCs w:val="20"/>
        </w:rPr>
        <w:t>/h.</w:t>
      </w:r>
    </w:p>
    <w:p w14:paraId="0360B200" w14:textId="77777777" w:rsidR="00990717" w:rsidRPr="006C423E" w:rsidRDefault="00990717" w:rsidP="006C423E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F994C05" w14:textId="77777777" w:rsidR="00990717" w:rsidRPr="006C423E" w:rsidRDefault="00990717" w:rsidP="006C423E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27062120" w14:textId="77777777" w:rsidR="00ED24C8" w:rsidRPr="006C423E" w:rsidRDefault="00C37610" w:rsidP="006C423E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Principais a</w:t>
      </w:r>
      <w:r w:rsidR="00990717" w:rsidRPr="006C423E">
        <w:rPr>
          <w:rFonts w:ascii="Arial" w:hAnsi="Arial" w:cs="Arial"/>
          <w:b/>
          <w:sz w:val="20"/>
          <w:szCs w:val="20"/>
        </w:rPr>
        <w:t>ntídotos</w:t>
      </w:r>
      <w:r w:rsidR="001615D3">
        <w:rPr>
          <w:rFonts w:ascii="Arial" w:hAnsi="Arial" w:cs="Arial"/>
          <w:b/>
          <w:sz w:val="20"/>
          <w:szCs w:val="20"/>
        </w:rPr>
        <w:t>:</w:t>
      </w:r>
    </w:p>
    <w:p w14:paraId="3131A324" w14:textId="77777777" w:rsidR="00DF1D6A" w:rsidRPr="006C423E" w:rsidRDefault="00DF1D6A" w:rsidP="006C423E">
      <w:pPr>
        <w:jc w:val="both"/>
        <w:rPr>
          <w:rFonts w:ascii="Arial" w:hAnsi="Arial" w:cs="Arial"/>
          <w:color w:val="FF0000"/>
          <w:sz w:val="20"/>
          <w:szCs w:val="20"/>
        </w:rPr>
      </w:pPr>
    </w:p>
    <w:tbl>
      <w:tblPr>
        <w:tblStyle w:val="SombreamentoClaro-nfase1"/>
        <w:tblW w:w="9076" w:type="dxa"/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1701"/>
        <w:gridCol w:w="1787"/>
        <w:gridCol w:w="2078"/>
      </w:tblGrid>
      <w:tr w:rsidR="00DF1D6A" w:rsidRPr="001615D3" w14:paraId="5D3A5741" w14:textId="77777777" w:rsidTr="008B2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14:paraId="584C5FBD" w14:textId="77777777" w:rsidR="00DF1D6A" w:rsidRPr="001615D3" w:rsidRDefault="00DF1D6A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Antídoto </w:t>
            </w:r>
          </w:p>
        </w:tc>
        <w:tc>
          <w:tcPr>
            <w:tcW w:w="1842" w:type="dxa"/>
            <w:shd w:val="clear" w:color="auto" w:fill="DDD9C3" w:themeFill="background2" w:themeFillShade="E6"/>
          </w:tcPr>
          <w:p w14:paraId="0501B054" w14:textId="77777777" w:rsidR="00DF1D6A" w:rsidRPr="001615D3" w:rsidRDefault="00DF1D6A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Apresentação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14:paraId="2CD631C0" w14:textId="77777777" w:rsidR="00DF1D6A" w:rsidRPr="001615D3" w:rsidRDefault="00DF1D6A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Indicação </w:t>
            </w:r>
          </w:p>
        </w:tc>
        <w:tc>
          <w:tcPr>
            <w:tcW w:w="1787" w:type="dxa"/>
            <w:shd w:val="clear" w:color="auto" w:fill="DDD9C3" w:themeFill="background2" w:themeFillShade="E6"/>
          </w:tcPr>
          <w:p w14:paraId="303F652C" w14:textId="77777777" w:rsidR="00DF1D6A" w:rsidRPr="001615D3" w:rsidRDefault="00460535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Mecanismo </w:t>
            </w:r>
            <w:r w:rsidR="00DF1D6A" w:rsidRPr="001615D3">
              <w:rPr>
                <w:rFonts w:ascii="Arial" w:hAnsi="Arial" w:cs="Arial"/>
                <w:color w:val="auto"/>
                <w:sz w:val="18"/>
                <w:szCs w:val="18"/>
              </w:rPr>
              <w:t>de ação</w:t>
            </w:r>
          </w:p>
        </w:tc>
        <w:tc>
          <w:tcPr>
            <w:tcW w:w="2078" w:type="dxa"/>
            <w:shd w:val="clear" w:color="auto" w:fill="DDD9C3" w:themeFill="background2" w:themeFillShade="E6"/>
          </w:tcPr>
          <w:p w14:paraId="0B191B56" w14:textId="77777777" w:rsidR="00DF1D6A" w:rsidRPr="001615D3" w:rsidRDefault="00DF1D6A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Posologia</w:t>
            </w:r>
          </w:p>
        </w:tc>
      </w:tr>
      <w:tr w:rsidR="00DF1D6A" w:rsidRPr="001615D3" w14:paraId="41369DB0" w14:textId="77777777" w:rsidTr="0046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14:paraId="22324E7A" w14:textId="77777777" w:rsidR="00DF1D6A" w:rsidRPr="001615D3" w:rsidRDefault="00DF1D6A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7EF96D71" w14:textId="77777777" w:rsidR="00DF1D6A" w:rsidRPr="001615D3" w:rsidRDefault="00DF1D6A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Atropina </w:t>
            </w:r>
          </w:p>
        </w:tc>
        <w:tc>
          <w:tcPr>
            <w:tcW w:w="1842" w:type="dxa"/>
            <w:shd w:val="clear" w:color="auto" w:fill="auto"/>
          </w:tcPr>
          <w:p w14:paraId="41E8810F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0FAC03C7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Solução injetável em</w:t>
            </w:r>
          </w:p>
          <w:p w14:paraId="5519AF46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Ampolas de 1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contendo 0,25 mg/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</w:p>
          <w:p w14:paraId="5566034B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ou 0,5 mg/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</w:t>
            </w:r>
          </w:p>
          <w:p w14:paraId="45993F8B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23279588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40A05AAC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Intoxicação por</w:t>
            </w:r>
          </w:p>
          <w:p w14:paraId="62C35146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inibidores da</w:t>
            </w:r>
          </w:p>
          <w:p w14:paraId="7A11CDA2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acetilcolinesterase: agrotóxicos,</w:t>
            </w:r>
          </w:p>
          <w:p w14:paraId="180AAC93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carbamatos,organofosforados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, gás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Sarin</w:t>
            </w:r>
            <w:proofErr w:type="spellEnd"/>
          </w:p>
        </w:tc>
        <w:tc>
          <w:tcPr>
            <w:tcW w:w="1787" w:type="dxa"/>
            <w:shd w:val="clear" w:color="auto" w:fill="auto"/>
          </w:tcPr>
          <w:p w14:paraId="6C8B4C74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3701022A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Antagonista da</w:t>
            </w:r>
          </w:p>
          <w:p w14:paraId="3CBCE132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Acetilcolina apenas nos</w:t>
            </w:r>
          </w:p>
          <w:p w14:paraId="35181022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receptores muscarínicos</w:t>
            </w:r>
          </w:p>
          <w:p w14:paraId="772FC170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 órgão efetor e em algumas sinapses colinérgicas centrais</w:t>
            </w:r>
          </w:p>
        </w:tc>
        <w:tc>
          <w:tcPr>
            <w:tcW w:w="2078" w:type="dxa"/>
            <w:shd w:val="clear" w:color="auto" w:fill="auto"/>
          </w:tcPr>
          <w:p w14:paraId="7E1CE4C3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35810F71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Dose IV inicial</w:t>
            </w:r>
            <w:r w:rsidR="00532061" w:rsidRPr="001615D3">
              <w:rPr>
                <w:rFonts w:ascii="Arial" w:hAnsi="Arial" w:cs="Arial"/>
                <w:color w:val="auto"/>
                <w:sz w:val="18"/>
                <w:szCs w:val="18"/>
              </w:rPr>
              <w:t>: 0,01-0,05 mg/Kg.</w:t>
            </w: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Repetir em 5, 10, 15 ou 30 </w:t>
            </w:r>
            <w:proofErr w:type="gramStart"/>
            <w:r w:rsidR="00532061"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min, </w:t>
            </w: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até</w:t>
            </w:r>
            <w:proofErr w:type="gram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obter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atropinização</w:t>
            </w:r>
            <w:proofErr w:type="spellEnd"/>
          </w:p>
          <w:p w14:paraId="333A2C9B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adequada (Boa Sat.O2, FC em torno de 120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bpm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e redução da hipersecreção pulmonar). Dose de manutenção: A dose e</w:t>
            </w:r>
          </w:p>
          <w:p w14:paraId="59CE05E2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gram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intervalo de administração devem</w:t>
            </w:r>
            <w:proofErr w:type="gram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ser modificados de acordo com a resposta clínica.</w:t>
            </w:r>
          </w:p>
          <w:p w14:paraId="4FC48532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DF1D6A" w:rsidRPr="001615D3" w14:paraId="0743848F" w14:textId="77777777" w:rsidTr="008B2C1A">
        <w:trPr>
          <w:trHeight w:val="1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14:paraId="674C5090" w14:textId="77777777" w:rsidR="00DF1D6A" w:rsidRPr="001615D3" w:rsidRDefault="00760312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Azul de metileno</w:t>
            </w:r>
          </w:p>
        </w:tc>
        <w:tc>
          <w:tcPr>
            <w:tcW w:w="1842" w:type="dxa"/>
            <w:shd w:val="clear" w:color="auto" w:fill="DDD9C3" w:themeFill="background2" w:themeFillShade="E6"/>
          </w:tcPr>
          <w:p w14:paraId="75BB862A" w14:textId="77777777" w:rsidR="00DF1D6A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Manipular solução a 1% em ampolas de 5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</w:p>
        </w:tc>
        <w:tc>
          <w:tcPr>
            <w:tcW w:w="1701" w:type="dxa"/>
            <w:shd w:val="clear" w:color="auto" w:fill="DDD9C3" w:themeFill="background2" w:themeFillShade="E6"/>
          </w:tcPr>
          <w:p w14:paraId="36170201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Metemoglobinemia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provocada por intoxicação por nitritos, anilina,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dapsona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,</w:t>
            </w:r>
          </w:p>
          <w:p w14:paraId="2BB4A6DF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fenazopiridina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, em pacientes sintomáticos</w:t>
            </w:r>
          </w:p>
          <w:p w14:paraId="4C728FEE" w14:textId="77777777" w:rsidR="00DF1D6A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ou com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MetaHb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&gt; 30%.</w:t>
            </w:r>
          </w:p>
        </w:tc>
        <w:tc>
          <w:tcPr>
            <w:tcW w:w="1787" w:type="dxa"/>
            <w:shd w:val="clear" w:color="auto" w:fill="DDD9C3" w:themeFill="background2" w:themeFillShade="E6"/>
          </w:tcPr>
          <w:p w14:paraId="62086BE9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Redução da</w:t>
            </w:r>
          </w:p>
          <w:p w14:paraId="7820AA4D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Metemoglobina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à</w:t>
            </w:r>
          </w:p>
          <w:p w14:paraId="183231F4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hemoglobina, via</w:t>
            </w:r>
          </w:p>
          <w:p w14:paraId="58B3195B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NADPH-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metemoglobina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-</w:t>
            </w:r>
          </w:p>
          <w:p w14:paraId="69E0AF58" w14:textId="77777777" w:rsidR="00DF1D6A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redutase</w:t>
            </w:r>
          </w:p>
        </w:tc>
        <w:tc>
          <w:tcPr>
            <w:tcW w:w="2078" w:type="dxa"/>
            <w:shd w:val="clear" w:color="auto" w:fill="DDD9C3" w:themeFill="background2" w:themeFillShade="E6"/>
          </w:tcPr>
          <w:p w14:paraId="6BB3A366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Administrar 1 - 2 mg/kg</w:t>
            </w:r>
          </w:p>
          <w:p w14:paraId="6590777D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(0,1-0,2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/Kg) de uma solução</w:t>
            </w:r>
          </w:p>
          <w:p w14:paraId="7244E4ED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 1% IV em 5 </w:t>
            </w:r>
            <w:proofErr w:type="spellStart"/>
            <w:proofErr w:type="gram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minutos.Repetir</w:t>
            </w:r>
            <w:proofErr w:type="spellEnd"/>
            <w:proofErr w:type="gram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se necessário a cada 6 - 8 h, em caso de intoxicação por oxidantes de longa ação como a</w:t>
            </w:r>
          </w:p>
          <w:p w14:paraId="580F553A" w14:textId="77777777" w:rsidR="00DF1D6A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Dapsona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  <w:p w14:paraId="5F457918" w14:textId="77777777" w:rsidR="00760312" w:rsidRPr="001615D3" w:rsidRDefault="0076031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DF1D6A" w:rsidRPr="001615D3" w14:paraId="41783C6C" w14:textId="77777777" w:rsidTr="0046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auto"/>
          </w:tcPr>
          <w:p w14:paraId="44411892" w14:textId="77777777" w:rsidR="00760312" w:rsidRPr="001615D3" w:rsidRDefault="00760312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Bicarbonato de</w:t>
            </w:r>
          </w:p>
          <w:p w14:paraId="105882D7" w14:textId="77777777" w:rsidR="00DF1D6A" w:rsidRPr="001615D3" w:rsidRDefault="00760312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Sódio</w:t>
            </w:r>
          </w:p>
        </w:tc>
        <w:tc>
          <w:tcPr>
            <w:tcW w:w="1842" w:type="dxa"/>
            <w:shd w:val="clear" w:color="auto" w:fill="auto"/>
          </w:tcPr>
          <w:p w14:paraId="2EA037DD" w14:textId="77777777" w:rsidR="00760312" w:rsidRPr="001615D3" w:rsidRDefault="00760312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Bicarbonato de sódio a 8,4%: 84 mg/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- </w:t>
            </w:r>
          </w:p>
          <w:p w14:paraId="538BF73F" w14:textId="77777777" w:rsidR="00760312" w:rsidRPr="001615D3" w:rsidRDefault="00760312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. </w:t>
            </w:r>
          </w:p>
          <w:p w14:paraId="3B98FD2F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7735D0FB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Alcalinização sanguínea</w:t>
            </w:r>
          </w:p>
          <w:p w14:paraId="669F3660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em intoxicações por antidepressivos</w:t>
            </w:r>
          </w:p>
          <w:p w14:paraId="04F5F132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lastRenderedPageBreak/>
              <w:t>tricíclicos e</w:t>
            </w:r>
          </w:p>
          <w:p w14:paraId="6A32C95A" w14:textId="77777777" w:rsidR="00DF1D6A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antiarrítmicos</w:t>
            </w:r>
          </w:p>
        </w:tc>
        <w:tc>
          <w:tcPr>
            <w:tcW w:w="1787" w:type="dxa"/>
            <w:shd w:val="clear" w:color="auto" w:fill="auto"/>
          </w:tcPr>
          <w:p w14:paraId="396378C2" w14:textId="77777777" w:rsidR="00760312" w:rsidRPr="001615D3" w:rsidRDefault="00760312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lastRenderedPageBreak/>
              <w:t>Correção de</w:t>
            </w:r>
          </w:p>
          <w:p w14:paraId="381C7601" w14:textId="77777777" w:rsidR="00DF1D6A" w:rsidRPr="001615D3" w:rsidRDefault="00760312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acidose</w:t>
            </w:r>
          </w:p>
        </w:tc>
        <w:tc>
          <w:tcPr>
            <w:tcW w:w="2078" w:type="dxa"/>
            <w:shd w:val="clear" w:color="auto" w:fill="auto"/>
          </w:tcPr>
          <w:p w14:paraId="36E7E1CD" w14:textId="77777777" w:rsidR="00760312" w:rsidRPr="001615D3" w:rsidRDefault="00760312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Crianças até 2 anos de idade: Recomenda-se solução a 4,2% e a</w:t>
            </w:r>
          </w:p>
          <w:p w14:paraId="78CE3C5A" w14:textId="77777777" w:rsidR="00760312" w:rsidRPr="001615D3" w:rsidRDefault="00760312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lastRenderedPageBreak/>
              <w:t xml:space="preserve">taxa de administração IV não deve exceder 8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mEq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/Kg/dia.</w:t>
            </w:r>
          </w:p>
          <w:p w14:paraId="1AEE4275" w14:textId="77777777" w:rsidR="00DF1D6A" w:rsidRPr="001615D3" w:rsidRDefault="00DF1D6A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DF1D6A" w:rsidRPr="001615D3" w14:paraId="68D59614" w14:textId="77777777" w:rsidTr="008B2C1A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14:paraId="3CB2E4BC" w14:textId="77777777" w:rsidR="00061891" w:rsidRPr="001615D3" w:rsidRDefault="00460535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lastRenderedPageBreak/>
              <w:t>Biperideno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/</w:t>
            </w:r>
          </w:p>
          <w:p w14:paraId="35FDD08C" w14:textId="77777777" w:rsidR="00DF1D6A" w:rsidRPr="001615D3" w:rsidRDefault="00460535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Akineton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®</w:t>
            </w:r>
          </w:p>
        </w:tc>
        <w:tc>
          <w:tcPr>
            <w:tcW w:w="1842" w:type="dxa"/>
            <w:shd w:val="clear" w:color="auto" w:fill="DDD9C3" w:themeFill="background2" w:themeFillShade="E6"/>
          </w:tcPr>
          <w:p w14:paraId="653652F0" w14:textId="77777777" w:rsidR="00460535" w:rsidRPr="001615D3" w:rsidRDefault="00460535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Ampolas de 1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com</w:t>
            </w:r>
          </w:p>
          <w:p w14:paraId="7018B759" w14:textId="77777777" w:rsidR="00DF1D6A" w:rsidRPr="001615D3" w:rsidRDefault="00460535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5 mg/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14:paraId="7F3EBC53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Tratamento</w:t>
            </w:r>
          </w:p>
          <w:p w14:paraId="24CBCB0B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dos sintomas</w:t>
            </w:r>
          </w:p>
          <w:p w14:paraId="39392775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extrapiramidais</w:t>
            </w:r>
          </w:p>
          <w:p w14:paraId="60AB91C3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ocasionados por</w:t>
            </w:r>
          </w:p>
          <w:p w14:paraId="3103D303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intoxicações com neurolépticos</w:t>
            </w:r>
          </w:p>
          <w:p w14:paraId="7AC2E683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(fenotiazinas </w:t>
            </w:r>
          </w:p>
          <w:p w14:paraId="22123A49" w14:textId="77777777" w:rsidR="00DF1D6A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haloperidol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) e também com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metoclopramida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e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bromoprida</w:t>
            </w:r>
            <w:proofErr w:type="spellEnd"/>
          </w:p>
        </w:tc>
        <w:tc>
          <w:tcPr>
            <w:tcW w:w="1787" w:type="dxa"/>
            <w:shd w:val="clear" w:color="auto" w:fill="DDD9C3" w:themeFill="background2" w:themeFillShade="E6"/>
          </w:tcPr>
          <w:p w14:paraId="3052BE63" w14:textId="77777777" w:rsidR="00DF1D6A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Agente anticolinérgico</w:t>
            </w:r>
          </w:p>
        </w:tc>
        <w:tc>
          <w:tcPr>
            <w:tcW w:w="2078" w:type="dxa"/>
            <w:shd w:val="clear" w:color="auto" w:fill="DDD9C3" w:themeFill="background2" w:themeFillShade="E6"/>
          </w:tcPr>
          <w:p w14:paraId="715EBAD2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Crianças: 0,06 - 0,1 mg/Kg/dose 6/6 h</w:t>
            </w:r>
          </w:p>
          <w:p w14:paraId="5A3208D7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4C8A185D" w14:textId="77777777" w:rsidR="00DF1D6A" w:rsidRPr="001615D3" w:rsidRDefault="00DF1D6A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DF1D6A" w:rsidRPr="001615D3" w14:paraId="65406DDD" w14:textId="77777777" w:rsidTr="0046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</w:tcPr>
          <w:p w14:paraId="64EB657D" w14:textId="77777777" w:rsidR="00061891" w:rsidRPr="001615D3" w:rsidRDefault="00061891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Bromocriptina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/</w:t>
            </w:r>
          </w:p>
          <w:p w14:paraId="35A15FA7" w14:textId="77777777" w:rsidR="00DF1D6A" w:rsidRPr="001615D3" w:rsidRDefault="00061891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Parlodel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®</w:t>
            </w:r>
          </w:p>
        </w:tc>
        <w:tc>
          <w:tcPr>
            <w:tcW w:w="1842" w:type="dxa"/>
            <w:shd w:val="clear" w:color="auto" w:fill="FFFFFF" w:themeFill="background1"/>
          </w:tcPr>
          <w:p w14:paraId="0ADF4B15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Comprimidos de 2,5</w:t>
            </w:r>
          </w:p>
          <w:p w14:paraId="33502E0F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mg em embalagem</w:t>
            </w:r>
          </w:p>
          <w:p w14:paraId="2603CF97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contendo 28</w:t>
            </w:r>
          </w:p>
          <w:p w14:paraId="7B3F9B09" w14:textId="77777777" w:rsidR="00DF1D6A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comprimidos</w:t>
            </w:r>
          </w:p>
        </w:tc>
        <w:tc>
          <w:tcPr>
            <w:tcW w:w="1701" w:type="dxa"/>
            <w:shd w:val="clear" w:color="auto" w:fill="FFFFFF" w:themeFill="background1"/>
          </w:tcPr>
          <w:p w14:paraId="522B978A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Síndrome neuroléptica</w:t>
            </w:r>
          </w:p>
          <w:p w14:paraId="6D6158EE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maligna causada por neurolépticos (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haloperidol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e outros</w:t>
            </w:r>
          </w:p>
          <w:p w14:paraId="4A9D8D75" w14:textId="77777777" w:rsidR="00DF1D6A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antipsicóticos)</w:t>
            </w:r>
          </w:p>
          <w:p w14:paraId="1948AA08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787" w:type="dxa"/>
            <w:shd w:val="clear" w:color="auto" w:fill="FFFFFF" w:themeFill="background1"/>
          </w:tcPr>
          <w:p w14:paraId="13AFB74C" w14:textId="77777777" w:rsidR="00061891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Agonista central da</w:t>
            </w:r>
          </w:p>
          <w:p w14:paraId="57178F89" w14:textId="77777777" w:rsidR="00DF1D6A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dopamina</w:t>
            </w:r>
          </w:p>
        </w:tc>
        <w:tc>
          <w:tcPr>
            <w:tcW w:w="2078" w:type="dxa"/>
            <w:shd w:val="clear" w:color="auto" w:fill="FFFFFF" w:themeFill="background1"/>
          </w:tcPr>
          <w:p w14:paraId="3DEA6C10" w14:textId="77777777" w:rsidR="00DF1D6A" w:rsidRPr="001615D3" w:rsidRDefault="00061891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Administrar 2,5-10 mg VO ou por SNG 3 - 4 vezes ao dia.</w:t>
            </w:r>
          </w:p>
        </w:tc>
      </w:tr>
      <w:tr w:rsidR="00061891" w:rsidRPr="001615D3" w14:paraId="423AF213" w14:textId="77777777" w:rsidTr="008B2C1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14:paraId="73C39F22" w14:textId="77777777" w:rsidR="00061891" w:rsidRPr="001615D3" w:rsidRDefault="00061891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Ciproeptadina</w:t>
            </w:r>
            <w:proofErr w:type="spellEnd"/>
          </w:p>
        </w:tc>
        <w:tc>
          <w:tcPr>
            <w:tcW w:w="1842" w:type="dxa"/>
            <w:shd w:val="clear" w:color="auto" w:fill="DDD9C3" w:themeFill="background2" w:themeFillShade="E6"/>
          </w:tcPr>
          <w:p w14:paraId="32BCD21D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Disponível em</w:t>
            </w:r>
          </w:p>
          <w:p w14:paraId="10D578A2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associação (1 mg de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cobamamida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e 4 mg de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ciproeptadina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).</w:t>
            </w:r>
          </w:p>
          <w:p w14:paraId="68818703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Formulações</w:t>
            </w:r>
          </w:p>
          <w:p w14:paraId="4C2565B7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comerciais: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Cobavital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®,</w:t>
            </w:r>
          </w:p>
          <w:p w14:paraId="51BBFF56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cobactin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®, etc.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14:paraId="343F68A0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Síndrome</w:t>
            </w:r>
          </w:p>
          <w:p w14:paraId="7F9D888E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serotoninérgica: pode ser benéfica para aliviar sintomas leves a</w:t>
            </w:r>
          </w:p>
          <w:p w14:paraId="598CA5E5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moderados.</w:t>
            </w:r>
          </w:p>
        </w:tc>
        <w:tc>
          <w:tcPr>
            <w:tcW w:w="1787" w:type="dxa"/>
            <w:shd w:val="clear" w:color="auto" w:fill="DDD9C3" w:themeFill="background2" w:themeFillShade="E6"/>
          </w:tcPr>
          <w:p w14:paraId="03C53B34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Parece antagonizar a estimulação excessiva dos receptores 5-HT1A e 5-HT2, resultando em</w:t>
            </w:r>
          </w:p>
          <w:p w14:paraId="407CFAC7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Melhoria dos sintomas</w:t>
            </w:r>
          </w:p>
          <w:p w14:paraId="15AD89AD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clínicos.</w:t>
            </w:r>
          </w:p>
          <w:p w14:paraId="3D875C1C" w14:textId="77777777" w:rsidR="00003576" w:rsidRPr="001615D3" w:rsidRDefault="00003576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078" w:type="dxa"/>
            <w:shd w:val="clear" w:color="auto" w:fill="DDD9C3" w:themeFill="background2" w:themeFillShade="E6"/>
          </w:tcPr>
          <w:p w14:paraId="0CE562BC" w14:textId="77777777" w:rsidR="00061891" w:rsidRPr="001615D3" w:rsidRDefault="0053206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Crianças: </w:t>
            </w:r>
            <w:r w:rsidR="00061891" w:rsidRPr="001615D3">
              <w:rPr>
                <w:rFonts w:ascii="Arial" w:hAnsi="Arial" w:cs="Arial"/>
                <w:color w:val="auto"/>
                <w:sz w:val="18"/>
                <w:szCs w:val="18"/>
              </w:rPr>
              <w:t>0,25 mg/Kg/dose 6/6 h, VO. Máximo:12 mg/dia.</w:t>
            </w:r>
          </w:p>
          <w:p w14:paraId="5709817D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22B98548" w14:textId="77777777" w:rsidR="00061891" w:rsidRPr="001615D3" w:rsidRDefault="00061891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061891" w:rsidRPr="001615D3" w14:paraId="462B6868" w14:textId="77777777" w:rsidTr="0046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</w:tcPr>
          <w:p w14:paraId="6A65915A" w14:textId="77777777" w:rsidR="00061891" w:rsidRPr="001615D3" w:rsidRDefault="00EE0E19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Diazepam</w:t>
            </w:r>
          </w:p>
        </w:tc>
        <w:tc>
          <w:tcPr>
            <w:tcW w:w="1842" w:type="dxa"/>
            <w:shd w:val="clear" w:color="auto" w:fill="FFFFFF" w:themeFill="background1"/>
          </w:tcPr>
          <w:p w14:paraId="55860A5A" w14:textId="77777777" w:rsidR="00EE0E19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Ampolas com 10 mg/2</w:t>
            </w:r>
          </w:p>
          <w:p w14:paraId="124804AD" w14:textId="77777777" w:rsidR="00061891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</w:t>
            </w:r>
          </w:p>
        </w:tc>
        <w:tc>
          <w:tcPr>
            <w:tcW w:w="1701" w:type="dxa"/>
            <w:shd w:val="clear" w:color="auto" w:fill="FFFFFF" w:themeFill="background1"/>
          </w:tcPr>
          <w:p w14:paraId="6FE81C7D" w14:textId="77777777" w:rsidR="00EE0E19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Casos em</w:t>
            </w:r>
          </w:p>
          <w:p w14:paraId="3699D7BB" w14:textId="77777777" w:rsidR="00EE0E19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que haja necessidade</w:t>
            </w:r>
          </w:p>
          <w:p w14:paraId="46F5DF33" w14:textId="77777777" w:rsidR="00EE0E19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de sedação como por exemplo: intoxicação</w:t>
            </w:r>
          </w:p>
          <w:p w14:paraId="61807F31" w14:textId="77777777" w:rsidR="00EE0E19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por cocaína e ou por anfetaminas, síndrome neuroléptica maligna,</w:t>
            </w:r>
          </w:p>
          <w:p w14:paraId="199C6893" w14:textId="77777777" w:rsidR="00061891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proofErr w:type="gram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convulsões,etc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.</w:t>
            </w:r>
            <w:proofErr w:type="gramEnd"/>
          </w:p>
          <w:p w14:paraId="206486DA" w14:textId="77777777" w:rsidR="00003576" w:rsidRPr="001615D3" w:rsidRDefault="0000357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1787" w:type="dxa"/>
            <w:shd w:val="clear" w:color="auto" w:fill="FFFFFF" w:themeFill="background1"/>
          </w:tcPr>
          <w:p w14:paraId="4B961C8E" w14:textId="77777777" w:rsidR="00EE0E19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Incremento da</w:t>
            </w:r>
          </w:p>
          <w:p w14:paraId="58D258BD" w14:textId="77777777" w:rsidR="00061891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neurotransmissão do GABA em todo o SN</w:t>
            </w:r>
          </w:p>
        </w:tc>
        <w:tc>
          <w:tcPr>
            <w:tcW w:w="2078" w:type="dxa"/>
            <w:shd w:val="clear" w:color="auto" w:fill="FFFFFF" w:themeFill="background1"/>
          </w:tcPr>
          <w:p w14:paraId="18A32CBE" w14:textId="77777777" w:rsidR="00EE0E19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Em caso de intoxicação por cocaína em adultos, pode-se utilizar até</w:t>
            </w:r>
          </w:p>
          <w:p w14:paraId="46F845F2" w14:textId="77777777" w:rsidR="00EE0E19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um máximo de 100 mg IV.</w:t>
            </w:r>
          </w:p>
          <w:p w14:paraId="3DA03559" w14:textId="77777777" w:rsidR="00061891" w:rsidRPr="001615D3" w:rsidRDefault="00EE0E19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Em crianças utilizar 0,3 a 0,5 mg/Kg IV ou Retal, podendo repetir se necessário.</w:t>
            </w:r>
          </w:p>
        </w:tc>
      </w:tr>
      <w:tr w:rsidR="00C37610" w:rsidRPr="001615D3" w14:paraId="091D45AD" w14:textId="77777777" w:rsidTr="008B2C1A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DDD9C3" w:themeFill="background2" w:themeFillShade="E6"/>
          </w:tcPr>
          <w:p w14:paraId="0A5125CA" w14:textId="77777777" w:rsidR="00C37610" w:rsidRPr="001615D3" w:rsidRDefault="00C37610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Flumazenil</w:t>
            </w:r>
            <w:proofErr w:type="spellEnd"/>
          </w:p>
        </w:tc>
        <w:tc>
          <w:tcPr>
            <w:tcW w:w="1842" w:type="dxa"/>
            <w:shd w:val="clear" w:color="auto" w:fill="DDD9C3" w:themeFill="background2" w:themeFillShade="E6"/>
          </w:tcPr>
          <w:p w14:paraId="66237F36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Ampola de 5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com 0,5</w:t>
            </w:r>
          </w:p>
          <w:p w14:paraId="7AD429BC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mg (0,1 mg/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DDD9C3" w:themeFill="background2" w:themeFillShade="E6"/>
          </w:tcPr>
          <w:p w14:paraId="3851F973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Intoxicações graves por</w:t>
            </w:r>
          </w:p>
          <w:p w14:paraId="3BDB76D6" w14:textId="77777777" w:rsidR="00C37610" w:rsidRPr="001615D3" w:rsidRDefault="00003576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B</w:t>
            </w:r>
            <w:r w:rsidR="00C37610" w:rsidRPr="001615D3">
              <w:rPr>
                <w:rFonts w:ascii="Arial" w:hAnsi="Arial" w:cs="Arial"/>
                <w:color w:val="auto"/>
                <w:sz w:val="18"/>
                <w:szCs w:val="18"/>
              </w:rPr>
              <w:t>enzodiazepínicos</w:t>
            </w:r>
          </w:p>
        </w:tc>
        <w:tc>
          <w:tcPr>
            <w:tcW w:w="1787" w:type="dxa"/>
            <w:shd w:val="clear" w:color="auto" w:fill="DDD9C3" w:themeFill="background2" w:themeFillShade="E6"/>
          </w:tcPr>
          <w:p w14:paraId="6D6AC336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Antagoniza a ação</w:t>
            </w:r>
          </w:p>
          <w:p w14:paraId="33CFD5CB" w14:textId="77777777" w:rsidR="00C37610" w:rsidRPr="001615D3" w:rsidRDefault="00003576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dos </w:t>
            </w:r>
            <w:r w:rsidR="00C37610" w:rsidRPr="001615D3">
              <w:rPr>
                <w:rFonts w:ascii="Arial" w:hAnsi="Arial" w:cs="Arial"/>
                <w:color w:val="auto"/>
                <w:sz w:val="18"/>
                <w:szCs w:val="18"/>
              </w:rPr>
              <w:t>benzodiazepínicos</w:t>
            </w:r>
          </w:p>
          <w:p w14:paraId="4749AB3B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(BZD),</w:t>
            </w:r>
          </w:p>
          <w:p w14:paraId="703AD225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imidazopiridinas</w:t>
            </w:r>
            <w:proofErr w:type="spellEnd"/>
          </w:p>
          <w:p w14:paraId="1B9CBBDF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(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Zolpidem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®) e</w:t>
            </w:r>
          </w:p>
          <w:p w14:paraId="66E0192D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outros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toxicantes</w:t>
            </w:r>
            <w:proofErr w:type="spellEnd"/>
          </w:p>
          <w:p w14:paraId="3E32B1E8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que atuam nos</w:t>
            </w:r>
          </w:p>
          <w:p w14:paraId="39DFF3F6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receptores de BZD</w:t>
            </w:r>
          </w:p>
          <w:p w14:paraId="5F9F06AC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 SNC.</w:t>
            </w:r>
          </w:p>
          <w:p w14:paraId="72CFDA4F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  <w:tc>
          <w:tcPr>
            <w:tcW w:w="2078" w:type="dxa"/>
            <w:shd w:val="clear" w:color="auto" w:fill="DDD9C3" w:themeFill="background2" w:themeFillShade="E6"/>
          </w:tcPr>
          <w:p w14:paraId="2AF70322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Crianças &gt; 1 ano:</w:t>
            </w:r>
          </w:p>
          <w:p w14:paraId="614001B2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Dose inicial: 0,01 - 0,02 mg/Kg IV em 15 segundos, se não ocorrer reversão da sedação após os 45</w:t>
            </w:r>
          </w:p>
          <w:p w14:paraId="6F8DFB67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segundos seguintes, repetir a mesma dose em intervalos de 1 minuto até por 4 vezes, totalizando</w:t>
            </w:r>
          </w:p>
          <w:p w14:paraId="34F29448" w14:textId="77777777" w:rsidR="00C37610" w:rsidRPr="001615D3" w:rsidRDefault="00C37610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lastRenderedPageBreak/>
              <w:t>0,05 mg/kg ou 1 mg.</w:t>
            </w:r>
          </w:p>
          <w:p w14:paraId="592F5D5B" w14:textId="77777777" w:rsidR="00003576" w:rsidRPr="001615D3" w:rsidRDefault="00003576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</w:tc>
      </w:tr>
      <w:tr w:rsidR="00C37610" w:rsidRPr="001615D3" w14:paraId="660399C1" w14:textId="77777777" w:rsidTr="0046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FFFF" w:themeFill="background1"/>
          </w:tcPr>
          <w:p w14:paraId="4306BA9D" w14:textId="77777777" w:rsidR="00C37610" w:rsidRPr="001615D3" w:rsidRDefault="00C37610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lastRenderedPageBreak/>
              <w:t xml:space="preserve">N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acetilcisteína</w:t>
            </w:r>
            <w:proofErr w:type="spellEnd"/>
          </w:p>
        </w:tc>
        <w:tc>
          <w:tcPr>
            <w:tcW w:w="1842" w:type="dxa"/>
            <w:shd w:val="clear" w:color="auto" w:fill="FFFFFF" w:themeFill="background1"/>
          </w:tcPr>
          <w:p w14:paraId="7431FEC9" w14:textId="77777777" w:rsidR="00C37610" w:rsidRPr="001615D3" w:rsidRDefault="00905508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Ampola de 3 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(100 mg/</w:t>
            </w: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)</w:t>
            </w:r>
          </w:p>
          <w:p w14:paraId="3D08587C" w14:textId="77777777" w:rsidR="00905508" w:rsidRPr="001615D3" w:rsidRDefault="00905508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4376371" w14:textId="77777777" w:rsidR="00905508" w:rsidRPr="001615D3" w:rsidRDefault="00905508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615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Xarope pediátrico (20 mg/</w:t>
            </w:r>
            <w:proofErr w:type="spellStart"/>
            <w:r w:rsidRPr="001615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mL</w:t>
            </w:r>
            <w:proofErr w:type="spellEnd"/>
            <w:r w:rsidRPr="001615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  <w:p w14:paraId="5BEEAA16" w14:textId="77777777" w:rsidR="00905508" w:rsidRPr="001615D3" w:rsidRDefault="00905508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14:paraId="6DFFE522" w14:textId="77777777" w:rsidR="00905508" w:rsidRPr="001615D3" w:rsidRDefault="006C095E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Granulado (</w:t>
            </w:r>
            <w:r w:rsidR="00905508" w:rsidRPr="001615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envelope</w:t>
            </w:r>
            <w:r w:rsidRPr="001615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="00905508" w:rsidRPr="001615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100mg/5g</w:t>
            </w:r>
          </w:p>
        </w:tc>
        <w:tc>
          <w:tcPr>
            <w:tcW w:w="1701" w:type="dxa"/>
            <w:shd w:val="clear" w:color="auto" w:fill="FFFFFF" w:themeFill="background1"/>
          </w:tcPr>
          <w:p w14:paraId="0D062CB6" w14:textId="77777777" w:rsidR="00C37610" w:rsidRPr="001615D3" w:rsidRDefault="0000357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Intoxic</w:t>
            </w:r>
            <w:r w:rsidR="00DA59EC" w:rsidRPr="001615D3">
              <w:rPr>
                <w:rFonts w:ascii="Arial" w:hAnsi="Arial" w:cs="Arial"/>
                <w:color w:val="auto"/>
                <w:sz w:val="18"/>
                <w:szCs w:val="18"/>
              </w:rPr>
              <w:t>ação por paracetamol</w:t>
            </w:r>
          </w:p>
        </w:tc>
        <w:tc>
          <w:tcPr>
            <w:tcW w:w="1787" w:type="dxa"/>
            <w:shd w:val="clear" w:color="auto" w:fill="FFFFFF" w:themeFill="background1"/>
          </w:tcPr>
          <w:p w14:paraId="40EDF033" w14:textId="77777777" w:rsidR="00C37610" w:rsidRPr="001615D3" w:rsidRDefault="006C095E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Mantém níveis adequados de glutationa (GSH), contribuindo, assim para a proteção celular</w:t>
            </w:r>
          </w:p>
        </w:tc>
        <w:tc>
          <w:tcPr>
            <w:tcW w:w="2078" w:type="dxa"/>
            <w:shd w:val="clear" w:color="auto" w:fill="FFFFFF" w:themeFill="background1"/>
          </w:tcPr>
          <w:p w14:paraId="0324A335" w14:textId="77777777" w:rsidR="00003576" w:rsidRPr="001615D3" w:rsidRDefault="0000357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Dosagem oral inicial: 140mg/kg</w:t>
            </w:r>
          </w:p>
          <w:p w14:paraId="2F95D117" w14:textId="77777777" w:rsidR="00003576" w:rsidRPr="001615D3" w:rsidRDefault="0000357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Dose de manutenção: 70mg/kg a cada 4 horas.</w:t>
            </w:r>
          </w:p>
          <w:p w14:paraId="218338F9" w14:textId="77777777" w:rsidR="00003576" w:rsidRPr="001615D3" w:rsidRDefault="0000357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Dose endovenosa: inicial de 150mg/kg (40-60min); 1ª dose de manutenção de</w:t>
            </w:r>
          </w:p>
          <w:p w14:paraId="422D7C3A" w14:textId="77777777" w:rsidR="00C37610" w:rsidRPr="001615D3" w:rsidRDefault="0000357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50mg/kg (em 4 horas); 2ª dose de manutenção 100mg/kg (em 16 horas).</w:t>
            </w:r>
          </w:p>
        </w:tc>
      </w:tr>
    </w:tbl>
    <w:p w14:paraId="332E7567" w14:textId="77777777" w:rsidR="00DF1D6A" w:rsidRPr="001615D3" w:rsidRDefault="00DF1D6A" w:rsidP="006C423E">
      <w:pPr>
        <w:jc w:val="both"/>
        <w:rPr>
          <w:rFonts w:ascii="Arial" w:hAnsi="Arial" w:cs="Arial"/>
          <w:color w:val="FF0000"/>
          <w:sz w:val="18"/>
          <w:szCs w:val="18"/>
        </w:rPr>
      </w:pPr>
    </w:p>
    <w:p w14:paraId="185AC6AA" w14:textId="77777777" w:rsidR="00ED24C8" w:rsidRPr="001615D3" w:rsidRDefault="00ED24C8" w:rsidP="006C423E">
      <w:pPr>
        <w:jc w:val="both"/>
        <w:rPr>
          <w:rFonts w:ascii="Arial" w:hAnsi="Arial" w:cs="Arial"/>
          <w:sz w:val="24"/>
          <w:szCs w:val="24"/>
        </w:rPr>
      </w:pPr>
    </w:p>
    <w:p w14:paraId="6D841DDB" w14:textId="77777777" w:rsidR="00ED24C8" w:rsidRPr="001615D3" w:rsidRDefault="00990717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Medidas de eliminação</w:t>
      </w:r>
      <w:r w:rsidR="001615D3">
        <w:rPr>
          <w:rFonts w:ascii="Arial" w:hAnsi="Arial" w:cs="Arial"/>
          <w:b/>
          <w:sz w:val="24"/>
          <w:szCs w:val="24"/>
        </w:rPr>
        <w:t>:</w:t>
      </w:r>
    </w:p>
    <w:p w14:paraId="007A39F2" w14:textId="77777777" w:rsidR="00ED24C8" w:rsidRPr="006C423E" w:rsidRDefault="00ED24C8" w:rsidP="006C423E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São utilizadas para potencializar a eliminação do agente tóxico. As principais medidas utilizadas são:</w:t>
      </w:r>
    </w:p>
    <w:p w14:paraId="6C0DB53B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 xml:space="preserve">Carvão ativado em dose-múltipla: </w:t>
      </w:r>
      <w:r w:rsidRPr="001615D3">
        <w:rPr>
          <w:rFonts w:ascii="Arial" w:hAnsi="Arial" w:cs="Arial"/>
          <w:sz w:val="20"/>
          <w:szCs w:val="20"/>
        </w:rPr>
        <w:t>indicado em casos de intoxicação</w:t>
      </w:r>
      <w:r w:rsidR="00042047" w:rsidRPr="001615D3">
        <w:rPr>
          <w:rFonts w:ascii="Arial" w:hAnsi="Arial" w:cs="Arial"/>
          <w:sz w:val="20"/>
          <w:szCs w:val="20"/>
        </w:rPr>
        <w:t xml:space="preserve"> </w:t>
      </w:r>
      <w:r w:rsidRPr="001615D3">
        <w:rPr>
          <w:rFonts w:ascii="Arial" w:hAnsi="Arial" w:cs="Arial"/>
          <w:sz w:val="20"/>
          <w:szCs w:val="20"/>
        </w:rPr>
        <w:t xml:space="preserve">por medicamentos como fenobarbital, </w:t>
      </w:r>
      <w:proofErr w:type="spellStart"/>
      <w:r w:rsidRPr="001615D3">
        <w:rPr>
          <w:rFonts w:ascii="Arial" w:hAnsi="Arial" w:cs="Arial"/>
          <w:sz w:val="20"/>
          <w:szCs w:val="20"/>
        </w:rPr>
        <w:t>dapsona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1615D3">
        <w:rPr>
          <w:rFonts w:ascii="Arial" w:hAnsi="Arial" w:cs="Arial"/>
          <w:sz w:val="20"/>
          <w:szCs w:val="20"/>
        </w:rPr>
        <w:t>carbamazepina</w:t>
      </w:r>
      <w:proofErr w:type="spellEnd"/>
      <w:r w:rsidRPr="001615D3">
        <w:rPr>
          <w:rFonts w:ascii="Arial" w:hAnsi="Arial" w:cs="Arial"/>
          <w:sz w:val="20"/>
          <w:szCs w:val="20"/>
        </w:rPr>
        <w:t>.</w:t>
      </w:r>
    </w:p>
    <w:p w14:paraId="64EE7ABD" w14:textId="77777777" w:rsidR="00ED24C8" w:rsidRPr="001615D3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>Alcalinização urinária:</w:t>
      </w:r>
      <w:r w:rsidRPr="001615D3">
        <w:rPr>
          <w:rFonts w:ascii="Arial" w:hAnsi="Arial" w:cs="Arial"/>
          <w:sz w:val="20"/>
          <w:szCs w:val="20"/>
        </w:rPr>
        <w:t xml:space="preserve"> pode potencializar a excreção urinária de alguns agentes. Alcalinizar a urina favorece a conversão de ácidos fracos lipossolúveis (como fenobarbital e salicilatos) para a forma de sal, impedindo a sua</w:t>
      </w:r>
      <w:r w:rsidR="00042047" w:rsidRPr="001615D3">
        <w:rPr>
          <w:rFonts w:ascii="Arial" w:hAnsi="Arial" w:cs="Arial"/>
          <w:sz w:val="20"/>
          <w:szCs w:val="20"/>
        </w:rPr>
        <w:t xml:space="preserve"> reabsorção pelo túbulo renal. </w:t>
      </w:r>
      <w:r w:rsidR="00042047" w:rsidRPr="001615D3">
        <w:rPr>
          <w:rFonts w:ascii="Arial" w:hAnsi="Arial" w:cs="Arial"/>
          <w:b/>
          <w:sz w:val="20"/>
          <w:szCs w:val="20"/>
        </w:rPr>
        <w:t>C</w:t>
      </w:r>
      <w:r w:rsidRPr="001615D3">
        <w:rPr>
          <w:rFonts w:ascii="Arial" w:hAnsi="Arial" w:cs="Arial"/>
          <w:b/>
          <w:sz w:val="20"/>
          <w:szCs w:val="20"/>
        </w:rPr>
        <w:t>ontraindicações</w:t>
      </w:r>
      <w:r w:rsidR="00366D7E" w:rsidRPr="001615D3">
        <w:rPr>
          <w:rFonts w:ascii="Arial" w:hAnsi="Arial" w:cs="Arial"/>
          <w:sz w:val="20"/>
          <w:szCs w:val="20"/>
        </w:rPr>
        <w:t xml:space="preserve">: </w:t>
      </w:r>
      <w:r w:rsidRPr="001615D3">
        <w:rPr>
          <w:rFonts w:ascii="Arial" w:hAnsi="Arial" w:cs="Arial"/>
          <w:sz w:val="20"/>
          <w:szCs w:val="20"/>
        </w:rPr>
        <w:t xml:space="preserve">insuficiência renal, edema pulmonar ou cerebral e doenças cardíacas. </w:t>
      </w:r>
      <w:r w:rsidRPr="001615D3">
        <w:rPr>
          <w:rFonts w:ascii="Arial" w:hAnsi="Arial" w:cs="Arial"/>
          <w:b/>
          <w:sz w:val="20"/>
          <w:szCs w:val="20"/>
        </w:rPr>
        <w:t>Técnica:</w:t>
      </w:r>
      <w:r w:rsidRPr="001615D3">
        <w:rPr>
          <w:rFonts w:ascii="Arial" w:hAnsi="Arial" w:cs="Arial"/>
          <w:sz w:val="20"/>
          <w:szCs w:val="20"/>
        </w:rPr>
        <w:t xml:space="preserve"> o objetivo é atingir pH urinário &gt; 7,5 enquanto o pH sérico deve se manter em torno de 7,55 a 7,6. Portanto, é recomendada a administração em </w:t>
      </w:r>
      <w:proofErr w:type="spellStart"/>
      <w:r w:rsidRPr="001615D3">
        <w:rPr>
          <w:rFonts w:ascii="Arial" w:hAnsi="Arial" w:cs="Arial"/>
          <w:sz w:val="20"/>
          <w:szCs w:val="20"/>
        </w:rPr>
        <w:t>bolus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de 1-2 </w:t>
      </w:r>
      <w:proofErr w:type="spellStart"/>
      <w:r w:rsidRPr="001615D3">
        <w:rPr>
          <w:rFonts w:ascii="Arial" w:hAnsi="Arial" w:cs="Arial"/>
          <w:sz w:val="20"/>
          <w:szCs w:val="20"/>
        </w:rPr>
        <w:t>mEq</w:t>
      </w:r>
      <w:proofErr w:type="spellEnd"/>
      <w:r w:rsidRPr="001615D3">
        <w:rPr>
          <w:rFonts w:ascii="Arial" w:hAnsi="Arial" w:cs="Arial"/>
          <w:sz w:val="20"/>
          <w:szCs w:val="20"/>
        </w:rPr>
        <w:t>/Kg de</w:t>
      </w:r>
      <w:r w:rsidR="00042047" w:rsidRPr="001615D3">
        <w:rPr>
          <w:rFonts w:ascii="Arial" w:hAnsi="Arial" w:cs="Arial"/>
          <w:sz w:val="20"/>
          <w:szCs w:val="20"/>
        </w:rPr>
        <w:t xml:space="preserve"> </w:t>
      </w:r>
      <w:r w:rsidRPr="001615D3">
        <w:rPr>
          <w:rFonts w:ascii="Arial" w:hAnsi="Arial" w:cs="Arial"/>
          <w:sz w:val="20"/>
          <w:szCs w:val="20"/>
        </w:rPr>
        <w:t xml:space="preserve">bicarbonato de sódio (NaHCO3) a 8,4%, seguida por infusão contínua de 150 </w:t>
      </w:r>
      <w:proofErr w:type="spellStart"/>
      <w:r w:rsidRPr="001615D3">
        <w:rPr>
          <w:rFonts w:ascii="Arial" w:hAnsi="Arial" w:cs="Arial"/>
          <w:sz w:val="20"/>
          <w:szCs w:val="20"/>
        </w:rPr>
        <w:t>mEq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de NaHCO3 em 1 litro de soro glicosado a 5% (SG 5%) (manter infusão entre 200-250 </w:t>
      </w:r>
      <w:proofErr w:type="spellStart"/>
      <w:r w:rsidRPr="001615D3">
        <w:rPr>
          <w:rFonts w:ascii="Arial" w:hAnsi="Arial" w:cs="Arial"/>
          <w:sz w:val="20"/>
          <w:szCs w:val="20"/>
        </w:rPr>
        <w:t>mL</w:t>
      </w:r>
      <w:proofErr w:type="spellEnd"/>
      <w:r w:rsidRPr="001615D3">
        <w:rPr>
          <w:rFonts w:ascii="Arial" w:hAnsi="Arial" w:cs="Arial"/>
          <w:sz w:val="20"/>
          <w:szCs w:val="20"/>
        </w:rPr>
        <w:t>/h).</w:t>
      </w:r>
    </w:p>
    <w:p w14:paraId="2BE79607" w14:textId="77777777" w:rsidR="00ED24C8" w:rsidRDefault="00ED24C8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b/>
          <w:sz w:val="20"/>
          <w:szCs w:val="20"/>
        </w:rPr>
        <w:t xml:space="preserve">Hemodiálise ou </w:t>
      </w:r>
      <w:proofErr w:type="spellStart"/>
      <w:r w:rsidRPr="001615D3">
        <w:rPr>
          <w:rFonts w:ascii="Arial" w:hAnsi="Arial" w:cs="Arial"/>
          <w:b/>
          <w:sz w:val="20"/>
          <w:szCs w:val="20"/>
        </w:rPr>
        <w:t>hemoperfusão</w:t>
      </w:r>
      <w:proofErr w:type="spellEnd"/>
      <w:r w:rsidRPr="001615D3">
        <w:rPr>
          <w:rFonts w:ascii="Arial" w:hAnsi="Arial" w:cs="Arial"/>
          <w:b/>
          <w:sz w:val="20"/>
          <w:szCs w:val="20"/>
        </w:rPr>
        <w:t>:</w:t>
      </w:r>
      <w:r w:rsidRPr="001615D3">
        <w:rPr>
          <w:rFonts w:ascii="Arial" w:hAnsi="Arial" w:cs="Arial"/>
          <w:sz w:val="20"/>
          <w:szCs w:val="20"/>
        </w:rPr>
        <w:t xml:space="preserve"> são técnicas raramente utilizadas. São geralmente indicadas quando a velocidade de depuração da substância pode ser maior pela remoção extracorpórea do que pelo próprio </w:t>
      </w:r>
      <w:proofErr w:type="spellStart"/>
      <w:r w:rsidRPr="001615D3">
        <w:rPr>
          <w:rFonts w:ascii="Arial" w:hAnsi="Arial" w:cs="Arial"/>
          <w:sz w:val="20"/>
          <w:szCs w:val="20"/>
        </w:rPr>
        <w:t>clearance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endógeno, que ocorre nos casos de nítida deterioração do quadro clínico do paciente ou quando os níveis séricos da substância determinam mau prognóstico. </w:t>
      </w:r>
    </w:p>
    <w:p w14:paraId="6E735D90" w14:textId="77777777" w:rsidR="001615D3" w:rsidRPr="001615D3" w:rsidRDefault="001615D3" w:rsidP="001615D3">
      <w:pPr>
        <w:jc w:val="both"/>
        <w:rPr>
          <w:rFonts w:ascii="Arial" w:hAnsi="Arial" w:cs="Arial"/>
          <w:sz w:val="20"/>
          <w:szCs w:val="20"/>
        </w:rPr>
      </w:pPr>
    </w:p>
    <w:p w14:paraId="5AD9410A" w14:textId="77777777" w:rsidR="000609B1" w:rsidRPr="001615D3" w:rsidRDefault="001615D3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>Ingestão De Substâncias Cáusticas</w:t>
      </w:r>
      <w:r>
        <w:rPr>
          <w:rFonts w:ascii="Arial" w:hAnsi="Arial" w:cs="Arial"/>
          <w:b/>
          <w:sz w:val="24"/>
          <w:szCs w:val="24"/>
        </w:rPr>
        <w:t>:</w:t>
      </w:r>
    </w:p>
    <w:p w14:paraId="5BA113D8" w14:textId="77777777" w:rsidR="00846500" w:rsidRPr="006C423E" w:rsidRDefault="00846500" w:rsidP="006C423E">
      <w:p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Diagnóstico Clínico</w:t>
      </w:r>
      <w:r w:rsidR="001615D3">
        <w:rPr>
          <w:rFonts w:ascii="Arial" w:hAnsi="Arial" w:cs="Arial"/>
          <w:b/>
          <w:sz w:val="20"/>
          <w:szCs w:val="20"/>
        </w:rPr>
        <w:t>:</w:t>
      </w:r>
    </w:p>
    <w:p w14:paraId="4D831EEF" w14:textId="77777777" w:rsidR="00846500" w:rsidRPr="006C423E" w:rsidRDefault="00846500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Ingestões que ocorrerem em crianças maiores ou forem presenciadas por adultos poderão ser relatadas, incluindo o tempo decorrido desde a ingestão, o tipo de substância ingerida (álcali ou ácido), o estado físico (líquido ou sólido), se é um produto industrializado ou artesanal, o pH e a concentração da substância (se disponível), o volume ingerido, bem como os sinais e sintomas apresentados. Em crianças menores ou em casos nos quais a ingestão não tenha sido presenciada, sintomas como: lesões orais, vômitos, saliva com sangue, disfagia, </w:t>
      </w:r>
      <w:proofErr w:type="spellStart"/>
      <w:r w:rsidRPr="006C423E">
        <w:rPr>
          <w:rFonts w:ascii="Arial" w:hAnsi="Arial" w:cs="Arial"/>
          <w:sz w:val="20"/>
          <w:szCs w:val="20"/>
        </w:rPr>
        <w:t>odinofagia</w:t>
      </w:r>
      <w:proofErr w:type="spellEnd"/>
      <w:r w:rsidRPr="006C423E">
        <w:rPr>
          <w:rFonts w:ascii="Arial" w:hAnsi="Arial" w:cs="Arial"/>
          <w:sz w:val="20"/>
          <w:szCs w:val="20"/>
        </w:rPr>
        <w:t xml:space="preserve">, dor abdominal, hematêmese, dor retroesternal ou torácica, sialorreia, recusa alimentar, estridor, </w:t>
      </w:r>
      <w:proofErr w:type="spellStart"/>
      <w:r w:rsidRPr="006C423E">
        <w:rPr>
          <w:rFonts w:ascii="Arial" w:hAnsi="Arial" w:cs="Arial"/>
          <w:sz w:val="20"/>
          <w:szCs w:val="20"/>
        </w:rPr>
        <w:t>disfonia</w:t>
      </w:r>
      <w:proofErr w:type="spellEnd"/>
      <w:r w:rsidRPr="006C423E">
        <w:rPr>
          <w:rFonts w:ascii="Arial" w:hAnsi="Arial" w:cs="Arial"/>
          <w:sz w:val="20"/>
          <w:szCs w:val="20"/>
        </w:rPr>
        <w:t>, tosse e dispneia podem sugerir o diagnóstico.</w:t>
      </w:r>
    </w:p>
    <w:p w14:paraId="3A468C05" w14:textId="77777777" w:rsidR="00905508" w:rsidRPr="006C423E" w:rsidRDefault="0090550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lastRenderedPageBreak/>
        <w:t xml:space="preserve">Álcalis causam necrose por liquefação e, mais frequentemente, lesões esofágicas, enquanto ácidos tendem a provocar lesões mais graves no estômago. </w:t>
      </w:r>
    </w:p>
    <w:p w14:paraId="3F766373" w14:textId="77777777" w:rsidR="00846500" w:rsidRPr="006C423E" w:rsidRDefault="00846500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No exame físico pode ser avaliada a presença de lesões na boca e nas vias aéreas, além de sinais de complicações como dispneia, estridor e enfisema subcutâneo. </w:t>
      </w:r>
    </w:p>
    <w:p w14:paraId="3BD1FF21" w14:textId="77777777" w:rsidR="00846500" w:rsidRPr="006C423E" w:rsidRDefault="00846500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IMPORTANTE: Lembrar que a ausência de lesões na boca não permite excluir a presença de lesões no trato digestório. </w:t>
      </w:r>
    </w:p>
    <w:p w14:paraId="0235725A" w14:textId="77777777" w:rsidR="00846500" w:rsidRPr="006C423E" w:rsidRDefault="00846500" w:rsidP="006C423E">
      <w:p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Diagnóstico laboratorial e radiológico:</w:t>
      </w:r>
    </w:p>
    <w:p w14:paraId="5770A69C" w14:textId="77777777" w:rsidR="00846500" w:rsidRPr="001615D3" w:rsidRDefault="00846500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Exames laboratoriais, incluindo hemograma completo, PCR, gasometria, eletrólitos e avaliação da função renal podem ser úteis na avaliação de possíveis complicações. E podem ser solicitados de acordo com o tipo de substância ingerida e o quadro clínico do paciente.</w:t>
      </w:r>
    </w:p>
    <w:p w14:paraId="17B48631" w14:textId="77777777" w:rsidR="00846500" w:rsidRPr="001615D3" w:rsidRDefault="00846500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 xml:space="preserve">Radiografia simples: Radiografias de tórax e abdômen em AP e perfil estão indicadas se houver sintomas e sinais como estridor, dispneia, hematêmese, dor retroesternal ou dor abdominal, sugestivos de complicações. E podem evidenciar </w:t>
      </w:r>
      <w:proofErr w:type="spellStart"/>
      <w:r w:rsidRPr="001615D3">
        <w:rPr>
          <w:rFonts w:ascii="Arial" w:hAnsi="Arial" w:cs="Arial"/>
          <w:sz w:val="20"/>
          <w:szCs w:val="20"/>
        </w:rPr>
        <w:t>pneumomediastino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615D3">
        <w:rPr>
          <w:rFonts w:ascii="Arial" w:hAnsi="Arial" w:cs="Arial"/>
          <w:sz w:val="20"/>
          <w:szCs w:val="20"/>
        </w:rPr>
        <w:t>pneumoperitônio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e alterações pulmonares, incluindo derrame pleural.</w:t>
      </w:r>
    </w:p>
    <w:p w14:paraId="038CD647" w14:textId="77777777" w:rsidR="00846500" w:rsidRPr="001615D3" w:rsidRDefault="00846500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 xml:space="preserve">Tomografia Computadorizada (TC): TC torácica e abdominal está indicada nos casos de suspeita de complicações, como perfuração, </w:t>
      </w:r>
      <w:proofErr w:type="spellStart"/>
      <w:r w:rsidRPr="001615D3">
        <w:rPr>
          <w:rFonts w:ascii="Arial" w:hAnsi="Arial" w:cs="Arial"/>
          <w:sz w:val="20"/>
          <w:szCs w:val="20"/>
        </w:rPr>
        <w:t>mediastinite</w:t>
      </w:r>
      <w:proofErr w:type="spellEnd"/>
      <w:r w:rsidRPr="001615D3">
        <w:rPr>
          <w:rFonts w:ascii="Arial" w:hAnsi="Arial" w:cs="Arial"/>
          <w:sz w:val="20"/>
          <w:szCs w:val="20"/>
        </w:rPr>
        <w:t>, fístula ou peritonite. Alguns serviços têm utilizado a tomografia para classificar a gravidade das lesões e avaliar o prognóstico.</w:t>
      </w:r>
    </w:p>
    <w:p w14:paraId="4D05186A" w14:textId="77777777" w:rsidR="00BF4A83" w:rsidRPr="006C423E" w:rsidRDefault="00BF4A83" w:rsidP="006C423E">
      <w:p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Endoscopia Digestiva Alta (EDA)</w:t>
      </w:r>
    </w:p>
    <w:p w14:paraId="5786844E" w14:textId="77777777" w:rsidR="00BF4A83" w:rsidRPr="001615D3" w:rsidRDefault="00BF4A83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 xml:space="preserve">Indicação: </w:t>
      </w:r>
      <w:r w:rsidRPr="001615D3">
        <w:rPr>
          <w:rFonts w:ascii="Arial" w:hAnsi="Arial" w:cs="Arial"/>
          <w:b/>
          <w:sz w:val="20"/>
          <w:szCs w:val="20"/>
        </w:rPr>
        <w:t>todos os casos de ingestão de substâncias cáusticas presenciada ou suspeita</w:t>
      </w:r>
      <w:r w:rsidRPr="001615D3">
        <w:rPr>
          <w:rFonts w:ascii="Arial" w:hAnsi="Arial" w:cs="Arial"/>
          <w:sz w:val="20"/>
          <w:szCs w:val="20"/>
        </w:rPr>
        <w:t xml:space="preserve">, em pacientes com os sintomas e/ou sinais descritos anteriormente. Todos os pacientes, mesmo assintomáticos, com história de ingestão de ácidos e bases fortes, incluindo produtos de limpeza “caseiros”, que na maioria das vezes contêm soda cáustica, devem ser submetidos ao exame, pelo risco de lesões mais graves. Embora a ausência de lesões orais não exclua a possibilidade de lesões esofágicas ou gástricas, nos pacientes assintomáticos e sem lesões orais, quando o agente ingerido for alvejante ou água sanitária industrializada, pode-se avaliar a não realização da EDA e seguir uma conduta expectante, pelo baixo risco de lesões significativas. </w:t>
      </w:r>
    </w:p>
    <w:p w14:paraId="5E8E9075" w14:textId="77777777" w:rsidR="00BF4A83" w:rsidRPr="001615D3" w:rsidRDefault="00BF4A83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Contraindicação: suspeita clínica ou radiológica de perfuração ou se houver lesões graves de vias aéreas.</w:t>
      </w:r>
    </w:p>
    <w:p w14:paraId="1E48B677" w14:textId="77777777" w:rsidR="00BF4A83" w:rsidRPr="001615D3" w:rsidRDefault="00BF4A83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 xml:space="preserve">Tempo ideal: de 12 a 24 horas, podendo ser postergado até 48 horas. Antes disso, as lesões ainda não completamente estabelecidas poderiam ser </w:t>
      </w:r>
      <w:proofErr w:type="spellStart"/>
      <w:r w:rsidRPr="001615D3">
        <w:rPr>
          <w:rFonts w:ascii="Arial" w:hAnsi="Arial" w:cs="Arial"/>
          <w:sz w:val="20"/>
          <w:szCs w:val="20"/>
        </w:rPr>
        <w:t>subclassificadas</w:t>
      </w:r>
      <w:proofErr w:type="spellEnd"/>
      <w:r w:rsidRPr="001615D3">
        <w:rPr>
          <w:rFonts w:ascii="Arial" w:hAnsi="Arial" w:cs="Arial"/>
          <w:sz w:val="20"/>
          <w:szCs w:val="20"/>
        </w:rPr>
        <w:t>. Após 48 horas da ingestão, deve-se individualizar a indicação do exame, pois a mucosa mais friável tem maior risco de perfuração. No entanto, a importância do exame para definir a conduta favorece que ele seja realizado mesmo após esse prazo.</w:t>
      </w:r>
    </w:p>
    <w:p w14:paraId="668CC487" w14:textId="77777777" w:rsidR="00846500" w:rsidRPr="001615D3" w:rsidRDefault="00BF4A83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 xml:space="preserve">Por meio </w:t>
      </w:r>
      <w:r w:rsidR="00F17AA6" w:rsidRPr="001615D3">
        <w:rPr>
          <w:rFonts w:ascii="Arial" w:hAnsi="Arial" w:cs="Arial"/>
          <w:sz w:val="20"/>
          <w:szCs w:val="20"/>
        </w:rPr>
        <w:t>da EDA</w:t>
      </w:r>
      <w:r w:rsidRPr="001615D3">
        <w:rPr>
          <w:rFonts w:ascii="Arial" w:hAnsi="Arial" w:cs="Arial"/>
          <w:sz w:val="20"/>
          <w:szCs w:val="20"/>
        </w:rPr>
        <w:t xml:space="preserve"> deve-se utilizar a Classificação de </w:t>
      </w:r>
      <w:proofErr w:type="spellStart"/>
      <w:r w:rsidRPr="001615D3">
        <w:rPr>
          <w:rFonts w:ascii="Arial" w:hAnsi="Arial" w:cs="Arial"/>
          <w:sz w:val="20"/>
          <w:szCs w:val="20"/>
        </w:rPr>
        <w:t>Zargar</w:t>
      </w:r>
      <w:proofErr w:type="spellEnd"/>
      <w:r w:rsidRPr="001615D3">
        <w:rPr>
          <w:rFonts w:ascii="Arial" w:hAnsi="Arial" w:cs="Arial"/>
          <w:sz w:val="20"/>
          <w:szCs w:val="20"/>
        </w:rPr>
        <w:t xml:space="preserve"> (</w:t>
      </w:r>
      <w:r w:rsidR="00F17AA6" w:rsidRPr="001615D3">
        <w:rPr>
          <w:rFonts w:ascii="Arial" w:hAnsi="Arial" w:cs="Arial"/>
          <w:sz w:val="20"/>
          <w:szCs w:val="20"/>
        </w:rPr>
        <w:t>descrita abaixo)</w:t>
      </w:r>
      <w:r w:rsidRPr="001615D3">
        <w:rPr>
          <w:rFonts w:ascii="Arial" w:hAnsi="Arial" w:cs="Arial"/>
          <w:sz w:val="20"/>
          <w:szCs w:val="20"/>
        </w:rPr>
        <w:t xml:space="preserve"> para avaliar</w:t>
      </w:r>
      <w:r w:rsidR="00F17AA6" w:rsidRPr="001615D3">
        <w:rPr>
          <w:rFonts w:ascii="Arial" w:hAnsi="Arial" w:cs="Arial"/>
          <w:sz w:val="20"/>
          <w:szCs w:val="20"/>
        </w:rPr>
        <w:t xml:space="preserve"> </w:t>
      </w:r>
      <w:r w:rsidRPr="001615D3">
        <w:rPr>
          <w:rFonts w:ascii="Arial" w:hAnsi="Arial" w:cs="Arial"/>
          <w:sz w:val="20"/>
          <w:szCs w:val="20"/>
        </w:rPr>
        <w:t>a gravidade das lesões, o que será útil para definir a conduta e o prognóstico.</w:t>
      </w:r>
    </w:p>
    <w:p w14:paraId="415C4BF4" w14:textId="77777777" w:rsidR="00846500" w:rsidRPr="001615D3" w:rsidRDefault="00846500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t xml:space="preserve">Conduta: </w:t>
      </w:r>
    </w:p>
    <w:p w14:paraId="0CDAB279" w14:textId="77777777" w:rsidR="00F17AA6" w:rsidRPr="006C423E" w:rsidRDefault="00F17AA6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A conduta inicial compreende: estabilização hemodinâmica + cuidados para a manutenção de vias aéreas. Os pacientes devem ser mantidos em jejum pelo menos até o momento da EDA, sob hidratação venosa e em uso de sintomáticos como antieméticos e analgésicos por via endovenosa, se necessário.</w:t>
      </w:r>
      <w:r w:rsidR="007904CB" w:rsidRPr="006C423E">
        <w:rPr>
          <w:rFonts w:ascii="Arial" w:hAnsi="Arial" w:cs="Arial"/>
          <w:sz w:val="20"/>
          <w:szCs w:val="20"/>
        </w:rPr>
        <w:t xml:space="preserve"> Se houver sinais clínicos de lesão de via aérea deve-se iniciar antibioticoterapia e corticoide.  </w:t>
      </w:r>
    </w:p>
    <w:p w14:paraId="3CFD95D6" w14:textId="77777777" w:rsidR="00F17AA6" w:rsidRPr="006C423E" w:rsidRDefault="00F17AA6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lastRenderedPageBreak/>
        <w:t>Alguns procedimentos podem agravar as lesões ou prejudicar a visualização da mucosa no momento da endoscopia e, portanto, NÃO DEVEM SER realizados, incluindo:</w:t>
      </w:r>
    </w:p>
    <w:p w14:paraId="676A1053" w14:textId="77777777" w:rsidR="00F17AA6" w:rsidRPr="001615D3" w:rsidRDefault="00F17AA6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Lavados gástricos</w:t>
      </w:r>
      <w:r w:rsidR="001615D3">
        <w:rPr>
          <w:rFonts w:ascii="Arial" w:hAnsi="Arial" w:cs="Arial"/>
          <w:sz w:val="20"/>
          <w:szCs w:val="20"/>
        </w:rPr>
        <w:t>;</w:t>
      </w:r>
    </w:p>
    <w:p w14:paraId="6B013B55" w14:textId="77777777" w:rsidR="00F17AA6" w:rsidRPr="001615D3" w:rsidRDefault="00F17AA6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Neutralização ácida</w:t>
      </w:r>
      <w:r w:rsidR="001615D3">
        <w:rPr>
          <w:rFonts w:ascii="Arial" w:hAnsi="Arial" w:cs="Arial"/>
          <w:sz w:val="20"/>
          <w:szCs w:val="20"/>
        </w:rPr>
        <w:t>;</w:t>
      </w:r>
    </w:p>
    <w:p w14:paraId="294E1D66" w14:textId="77777777" w:rsidR="00F17AA6" w:rsidRPr="001615D3" w:rsidRDefault="00F17AA6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Diluição com leite ou água</w:t>
      </w:r>
      <w:r w:rsidR="001615D3">
        <w:rPr>
          <w:rFonts w:ascii="Arial" w:hAnsi="Arial" w:cs="Arial"/>
          <w:sz w:val="20"/>
          <w:szCs w:val="20"/>
        </w:rPr>
        <w:t>;</w:t>
      </w:r>
    </w:p>
    <w:p w14:paraId="34CA8CB9" w14:textId="77777777" w:rsidR="00F17AA6" w:rsidRPr="001615D3" w:rsidRDefault="00F17AA6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Indução de vômitos</w:t>
      </w:r>
      <w:r w:rsidR="001615D3">
        <w:rPr>
          <w:rFonts w:ascii="Arial" w:hAnsi="Arial" w:cs="Arial"/>
          <w:sz w:val="20"/>
          <w:szCs w:val="20"/>
        </w:rPr>
        <w:t>;</w:t>
      </w:r>
    </w:p>
    <w:p w14:paraId="598577A9" w14:textId="77777777" w:rsidR="00F17AA6" w:rsidRPr="001615D3" w:rsidRDefault="00F17AA6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Carvão ativado</w:t>
      </w:r>
      <w:r w:rsidR="001615D3">
        <w:rPr>
          <w:rFonts w:ascii="Arial" w:hAnsi="Arial" w:cs="Arial"/>
          <w:sz w:val="20"/>
          <w:szCs w:val="20"/>
        </w:rPr>
        <w:t>;</w:t>
      </w:r>
    </w:p>
    <w:p w14:paraId="704C8228" w14:textId="77777777" w:rsidR="00F17AA6" w:rsidRPr="001615D3" w:rsidRDefault="00F17AA6" w:rsidP="001615D3">
      <w:pPr>
        <w:jc w:val="both"/>
        <w:rPr>
          <w:rFonts w:ascii="Arial" w:hAnsi="Arial" w:cs="Arial"/>
          <w:sz w:val="20"/>
          <w:szCs w:val="20"/>
        </w:rPr>
      </w:pPr>
      <w:r w:rsidRPr="001615D3">
        <w:rPr>
          <w:rFonts w:ascii="Arial" w:hAnsi="Arial" w:cs="Arial"/>
          <w:sz w:val="20"/>
          <w:szCs w:val="20"/>
        </w:rPr>
        <w:t>Passagem de sondas para alimentação antes da endoscopia</w:t>
      </w:r>
      <w:r w:rsidR="001615D3">
        <w:rPr>
          <w:rFonts w:ascii="Arial" w:hAnsi="Arial" w:cs="Arial"/>
          <w:sz w:val="20"/>
          <w:szCs w:val="20"/>
        </w:rPr>
        <w:t>.</w:t>
      </w:r>
    </w:p>
    <w:p w14:paraId="422A2AB9" w14:textId="77777777" w:rsidR="00ED24C8" w:rsidRPr="006C423E" w:rsidRDefault="00F17AA6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O resultado do exame endoscópico, utilizando a Classificação de </w:t>
      </w:r>
      <w:proofErr w:type="spellStart"/>
      <w:r w:rsidRPr="006C423E">
        <w:rPr>
          <w:rFonts w:ascii="Arial" w:hAnsi="Arial" w:cs="Arial"/>
          <w:sz w:val="20"/>
          <w:szCs w:val="20"/>
        </w:rPr>
        <w:t>Zargar</w:t>
      </w:r>
      <w:proofErr w:type="spellEnd"/>
      <w:r w:rsidRPr="006C423E">
        <w:rPr>
          <w:rFonts w:ascii="Arial" w:hAnsi="Arial" w:cs="Arial"/>
          <w:sz w:val="20"/>
          <w:szCs w:val="20"/>
        </w:rPr>
        <w:t>, deve guiar a conduta a</w:t>
      </w:r>
      <w:r w:rsidR="007904CB" w:rsidRPr="006C423E">
        <w:rPr>
          <w:rFonts w:ascii="Arial" w:hAnsi="Arial" w:cs="Arial"/>
          <w:sz w:val="20"/>
          <w:szCs w:val="20"/>
        </w:rPr>
        <w:t xml:space="preserve"> </w:t>
      </w:r>
      <w:r w:rsidRPr="006C423E">
        <w:rPr>
          <w:rFonts w:ascii="Arial" w:hAnsi="Arial" w:cs="Arial"/>
          <w:sz w:val="20"/>
          <w:szCs w:val="20"/>
        </w:rPr>
        <w:t>partir de então, como descrito na Tabela</w:t>
      </w:r>
      <w:r w:rsidR="007904CB" w:rsidRPr="006C423E">
        <w:rPr>
          <w:rFonts w:ascii="Arial" w:hAnsi="Arial" w:cs="Arial"/>
          <w:sz w:val="20"/>
          <w:szCs w:val="20"/>
        </w:rPr>
        <w:t xml:space="preserve"> abaixo: </w:t>
      </w:r>
    </w:p>
    <w:tbl>
      <w:tblPr>
        <w:tblStyle w:val="SombreamentoClaro-nfase1"/>
        <w:tblW w:w="8127" w:type="dxa"/>
        <w:tblInd w:w="388" w:type="dxa"/>
        <w:tblLayout w:type="fixed"/>
        <w:tblLook w:val="04A0" w:firstRow="1" w:lastRow="0" w:firstColumn="1" w:lastColumn="0" w:noHBand="0" w:noVBand="1"/>
      </w:tblPr>
      <w:tblGrid>
        <w:gridCol w:w="4364"/>
        <w:gridCol w:w="3763"/>
      </w:tblGrid>
      <w:tr w:rsidR="00D16A97" w:rsidRPr="001615D3" w14:paraId="4788A15B" w14:textId="77777777" w:rsidTr="008B2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4" w:type="dxa"/>
            <w:shd w:val="clear" w:color="auto" w:fill="DDD9C3" w:themeFill="background2" w:themeFillShade="E6"/>
          </w:tcPr>
          <w:p w14:paraId="66B5CE27" w14:textId="77777777" w:rsidR="00D16A97" w:rsidRPr="001615D3" w:rsidRDefault="00D16A97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Zargar</w:t>
            </w:r>
            <w:proofErr w:type="spellEnd"/>
          </w:p>
        </w:tc>
        <w:tc>
          <w:tcPr>
            <w:tcW w:w="3763" w:type="dxa"/>
            <w:shd w:val="clear" w:color="auto" w:fill="DDD9C3" w:themeFill="background2" w:themeFillShade="E6"/>
          </w:tcPr>
          <w:p w14:paraId="67B28AED" w14:textId="77777777" w:rsidR="00D16A97" w:rsidRPr="001615D3" w:rsidRDefault="00D16A97" w:rsidP="006C423E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Conduta</w:t>
            </w:r>
          </w:p>
        </w:tc>
      </w:tr>
      <w:tr w:rsidR="00D16A97" w:rsidRPr="001615D3" w14:paraId="74758834" w14:textId="77777777" w:rsidTr="007F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4" w:type="dxa"/>
            <w:shd w:val="clear" w:color="auto" w:fill="auto"/>
          </w:tcPr>
          <w:p w14:paraId="5FA2F22E" w14:textId="77777777" w:rsidR="00D16A97" w:rsidRPr="001615D3" w:rsidRDefault="00D16A97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</w:p>
          <w:p w14:paraId="0931AB8D" w14:textId="77777777" w:rsidR="00D16A97" w:rsidRPr="001615D3" w:rsidRDefault="00D16A97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0</w:t>
            </w:r>
          </w:p>
        </w:tc>
        <w:tc>
          <w:tcPr>
            <w:tcW w:w="3763" w:type="dxa"/>
            <w:shd w:val="clear" w:color="auto" w:fill="auto"/>
          </w:tcPr>
          <w:p w14:paraId="518EF5B9" w14:textId="77777777" w:rsidR="00D16A97" w:rsidRPr="001615D3" w:rsidRDefault="00D16A97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Alta com orientações</w:t>
            </w:r>
          </w:p>
        </w:tc>
      </w:tr>
      <w:tr w:rsidR="00D16A97" w:rsidRPr="001615D3" w14:paraId="1705A504" w14:textId="77777777" w:rsidTr="008B2C1A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4" w:type="dxa"/>
            <w:shd w:val="clear" w:color="auto" w:fill="DDD9C3" w:themeFill="background2" w:themeFillShade="E6"/>
          </w:tcPr>
          <w:p w14:paraId="5BF73677" w14:textId="77777777" w:rsidR="00D16A97" w:rsidRPr="001615D3" w:rsidRDefault="00D16A97" w:rsidP="006C423E">
            <w:pPr>
              <w:spacing w:line="276" w:lineRule="auto"/>
              <w:jc w:val="both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1</w:t>
            </w:r>
          </w:p>
        </w:tc>
        <w:tc>
          <w:tcPr>
            <w:tcW w:w="3763" w:type="dxa"/>
            <w:shd w:val="clear" w:color="auto" w:fill="DDD9C3" w:themeFill="background2" w:themeFillShade="E6"/>
          </w:tcPr>
          <w:p w14:paraId="35F14B92" w14:textId="77777777" w:rsidR="00D16A97" w:rsidRPr="001615D3" w:rsidRDefault="00D16A97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Dieta oral líquida </w:t>
            </w:r>
            <w:r w:rsidRPr="001615D3">
              <w:rPr>
                <w:rFonts w:ascii="Cambria Math" w:hAnsi="Cambria Math" w:cs="Cambria Math"/>
                <w:color w:val="auto"/>
                <w:sz w:val="18"/>
                <w:szCs w:val="18"/>
              </w:rPr>
              <w:t>⇒</w:t>
            </w: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pastosa </w:t>
            </w:r>
            <w:r w:rsidRPr="001615D3">
              <w:rPr>
                <w:rFonts w:ascii="Cambria Math" w:hAnsi="Cambria Math" w:cs="Cambria Math"/>
                <w:color w:val="auto"/>
                <w:sz w:val="18"/>
                <w:szCs w:val="18"/>
              </w:rPr>
              <w:t>⇒</w:t>
            </w: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sólida</w:t>
            </w:r>
          </w:p>
          <w:p w14:paraId="04ECFFCD" w14:textId="77777777" w:rsidR="00D16A97" w:rsidRPr="001615D3" w:rsidRDefault="00D16A97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IBP ou bloqueador H2</w:t>
            </w:r>
          </w:p>
          <w:p w14:paraId="131E1432" w14:textId="77777777" w:rsidR="00D16A97" w:rsidRPr="001615D3" w:rsidRDefault="00D16A97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Alta de acordo com a evolução clínica, em uso de bloqueador H2 ou IBP por 30 dias.</w:t>
            </w:r>
          </w:p>
          <w:p w14:paraId="03F988E6" w14:textId="77777777" w:rsidR="00D16A97" w:rsidRPr="001615D3" w:rsidRDefault="00D16A97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Reavaliação nos serviços da SES/DF</w:t>
            </w:r>
          </w:p>
        </w:tc>
      </w:tr>
      <w:tr w:rsidR="00D16A97" w:rsidRPr="001615D3" w14:paraId="097A6BF0" w14:textId="77777777" w:rsidTr="007F12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4" w:type="dxa"/>
            <w:shd w:val="clear" w:color="auto" w:fill="auto"/>
          </w:tcPr>
          <w:p w14:paraId="4E984C8A" w14:textId="77777777" w:rsidR="00D16A97" w:rsidRPr="001615D3" w:rsidRDefault="00D16A97" w:rsidP="006C423E">
            <w:pPr>
              <w:spacing w:line="276" w:lineRule="auto"/>
              <w:jc w:val="both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2a</w:t>
            </w:r>
          </w:p>
        </w:tc>
        <w:tc>
          <w:tcPr>
            <w:tcW w:w="3763" w:type="dxa"/>
            <w:shd w:val="clear" w:color="auto" w:fill="auto"/>
          </w:tcPr>
          <w:p w14:paraId="43BD2BEA" w14:textId="77777777" w:rsidR="006F6DF6" w:rsidRPr="001615D3" w:rsidRDefault="006F6DF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Dieta oral líquida 24-48 horas, seguida por dieta pastosa </w:t>
            </w:r>
            <w:r w:rsidRPr="001615D3">
              <w:rPr>
                <w:rFonts w:ascii="Cambria Math" w:hAnsi="Cambria Math" w:cs="Cambria Math"/>
                <w:color w:val="auto"/>
                <w:sz w:val="18"/>
                <w:szCs w:val="18"/>
              </w:rPr>
              <w:t>⇒</w:t>
            </w: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 xml:space="preserve"> sólida.</w:t>
            </w:r>
          </w:p>
          <w:p w14:paraId="4B4A8B6C" w14:textId="77777777" w:rsidR="006F6DF6" w:rsidRPr="001615D3" w:rsidRDefault="006F6DF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Sintomáticos (analgésico/antiemético)</w:t>
            </w:r>
          </w:p>
          <w:p w14:paraId="05D378CB" w14:textId="77777777" w:rsidR="006F6DF6" w:rsidRPr="001615D3" w:rsidRDefault="006F6DF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IBP ou bloqueador H2</w:t>
            </w:r>
          </w:p>
          <w:p w14:paraId="1CCDACF6" w14:textId="77777777" w:rsidR="006F6DF6" w:rsidRPr="001615D3" w:rsidRDefault="006F6DF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Alta de acordo com a evolução clínica, em uso de bloqueador H2 ou IBP por 30 dias</w:t>
            </w:r>
          </w:p>
          <w:p w14:paraId="19710919" w14:textId="77777777" w:rsidR="006F6DF6" w:rsidRPr="001615D3" w:rsidRDefault="006F6DF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Ambulatório Esôfago HCB</w:t>
            </w:r>
          </w:p>
          <w:p w14:paraId="2076D29C" w14:textId="77777777" w:rsidR="00D16A97" w:rsidRPr="001615D3" w:rsidRDefault="006F6DF6" w:rsidP="006C423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EDA/EED após 3-4 semanas da ingestão</w:t>
            </w:r>
          </w:p>
        </w:tc>
      </w:tr>
      <w:tr w:rsidR="00D16A97" w:rsidRPr="001615D3" w14:paraId="24AA01F1" w14:textId="77777777" w:rsidTr="008B2C1A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4" w:type="dxa"/>
            <w:shd w:val="clear" w:color="auto" w:fill="DDD9C3" w:themeFill="background2" w:themeFillShade="E6"/>
          </w:tcPr>
          <w:p w14:paraId="388B91AE" w14:textId="77777777" w:rsidR="00D16A97" w:rsidRPr="001615D3" w:rsidRDefault="00FE79B2" w:rsidP="006C423E">
            <w:pPr>
              <w:spacing w:line="276" w:lineRule="auto"/>
              <w:jc w:val="both"/>
              <w:rPr>
                <w:rFonts w:ascii="Arial" w:hAnsi="Arial" w:cs="Arial"/>
                <w:b w:val="0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b w:val="0"/>
                <w:color w:val="auto"/>
                <w:sz w:val="18"/>
                <w:szCs w:val="18"/>
              </w:rPr>
              <w:t>2b/ 3</w:t>
            </w:r>
          </w:p>
        </w:tc>
        <w:tc>
          <w:tcPr>
            <w:tcW w:w="3763" w:type="dxa"/>
            <w:shd w:val="clear" w:color="auto" w:fill="DDD9C3" w:themeFill="background2" w:themeFillShade="E6"/>
          </w:tcPr>
          <w:p w14:paraId="5D60A297" w14:textId="77777777" w:rsidR="00FE79B2" w:rsidRPr="001615D3" w:rsidRDefault="00FE79B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Suporte nutricional (sonda ou nutrição parenteral)</w:t>
            </w:r>
          </w:p>
          <w:p w14:paraId="5F4A67A6" w14:textId="77777777" w:rsidR="00FE79B2" w:rsidRPr="001615D3" w:rsidRDefault="00FE79B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Sintomáticos (analgésico/antiemético)</w:t>
            </w:r>
          </w:p>
          <w:p w14:paraId="4477419E" w14:textId="77777777" w:rsidR="00FE79B2" w:rsidRPr="001615D3" w:rsidRDefault="00FE79B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IBP</w:t>
            </w:r>
          </w:p>
          <w:p w14:paraId="2E1D1CF9" w14:textId="77777777" w:rsidR="00FE79B2" w:rsidRPr="001615D3" w:rsidRDefault="00FE79B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Antibiótico – se infecção e/ou uso de corticoide</w:t>
            </w:r>
          </w:p>
          <w:p w14:paraId="2DED3661" w14:textId="77777777" w:rsidR="00FE79B2" w:rsidRPr="001615D3" w:rsidRDefault="00FE79B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Corticosteroide – se lesões de VAS ou lesões 2b</w:t>
            </w:r>
          </w:p>
          <w:p w14:paraId="004BEA61" w14:textId="77777777" w:rsidR="00FE79B2" w:rsidRPr="001615D3" w:rsidRDefault="00FE79B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Alta após 7-10 dias, dependendo da evolução</w:t>
            </w:r>
          </w:p>
          <w:p w14:paraId="7B6B351F" w14:textId="77777777" w:rsidR="00FE79B2" w:rsidRPr="001615D3" w:rsidRDefault="00FE79B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proofErr w:type="spellStart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Amb</w:t>
            </w:r>
            <w:proofErr w:type="spellEnd"/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. Esôfago HCB (1-4 semanas após a alta)</w:t>
            </w:r>
          </w:p>
          <w:p w14:paraId="5AE1D4B5" w14:textId="77777777" w:rsidR="00D16A97" w:rsidRPr="001615D3" w:rsidRDefault="00FE79B2" w:rsidP="006C423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18"/>
                <w:szCs w:val="18"/>
              </w:rPr>
            </w:pPr>
            <w:r w:rsidRPr="001615D3">
              <w:rPr>
                <w:rFonts w:ascii="Arial" w:hAnsi="Arial" w:cs="Arial"/>
                <w:color w:val="auto"/>
                <w:sz w:val="18"/>
                <w:szCs w:val="18"/>
              </w:rPr>
              <w:t>EDA/ EED 3-4 semanas</w:t>
            </w:r>
          </w:p>
        </w:tc>
      </w:tr>
    </w:tbl>
    <w:p w14:paraId="29193A64" w14:textId="77777777" w:rsidR="001615D3" w:rsidRDefault="001615D3" w:rsidP="006C423E">
      <w:pPr>
        <w:jc w:val="both"/>
        <w:rPr>
          <w:rFonts w:ascii="Arial" w:hAnsi="Arial" w:cs="Arial"/>
          <w:b/>
          <w:sz w:val="20"/>
          <w:szCs w:val="20"/>
        </w:rPr>
      </w:pPr>
    </w:p>
    <w:p w14:paraId="47E1DEE0" w14:textId="77777777" w:rsidR="00ED24C8" w:rsidRPr="006C423E" w:rsidRDefault="006758C8" w:rsidP="006C423E">
      <w:pPr>
        <w:jc w:val="both"/>
        <w:rPr>
          <w:rFonts w:ascii="Arial" w:hAnsi="Arial" w:cs="Arial"/>
          <w:b/>
          <w:sz w:val="20"/>
          <w:szCs w:val="20"/>
        </w:rPr>
      </w:pPr>
      <w:r w:rsidRPr="006C423E">
        <w:rPr>
          <w:rFonts w:ascii="Arial" w:hAnsi="Arial" w:cs="Arial"/>
          <w:b/>
          <w:sz w:val="20"/>
          <w:szCs w:val="20"/>
        </w:rPr>
        <w:t>ATENÇÃO! Em caso de dúvida quanto ao agente tóxico/tratamento entrar em contato com o CI</w:t>
      </w:r>
      <w:r w:rsidR="00905508" w:rsidRPr="006C423E">
        <w:rPr>
          <w:rFonts w:ascii="Arial" w:hAnsi="Arial" w:cs="Arial"/>
          <w:b/>
          <w:sz w:val="20"/>
          <w:szCs w:val="20"/>
        </w:rPr>
        <w:t>A</w:t>
      </w:r>
      <w:r w:rsidRPr="006C423E">
        <w:rPr>
          <w:rFonts w:ascii="Arial" w:hAnsi="Arial" w:cs="Arial"/>
          <w:b/>
          <w:sz w:val="20"/>
          <w:szCs w:val="20"/>
        </w:rPr>
        <w:t>T</w:t>
      </w:r>
      <w:r w:rsidR="00905508" w:rsidRPr="006C423E">
        <w:rPr>
          <w:rFonts w:ascii="Arial" w:hAnsi="Arial" w:cs="Arial"/>
          <w:b/>
          <w:sz w:val="20"/>
          <w:szCs w:val="20"/>
        </w:rPr>
        <w:t>OX</w:t>
      </w:r>
      <w:r w:rsidRPr="006C423E">
        <w:rPr>
          <w:rFonts w:ascii="Arial" w:hAnsi="Arial" w:cs="Arial"/>
          <w:b/>
          <w:sz w:val="20"/>
          <w:szCs w:val="20"/>
        </w:rPr>
        <w:t xml:space="preserve">-DF: </w:t>
      </w:r>
      <w:r w:rsidR="00905508" w:rsidRPr="006C423E">
        <w:rPr>
          <w:rFonts w:ascii="Arial" w:hAnsi="Arial" w:cs="Arial"/>
          <w:b/>
          <w:sz w:val="20"/>
          <w:szCs w:val="20"/>
        </w:rPr>
        <w:t>0800 6446 774 ou 0800 7226 001</w:t>
      </w:r>
    </w:p>
    <w:p w14:paraId="3F301B54" w14:textId="77777777" w:rsidR="001615D3" w:rsidRDefault="001615D3" w:rsidP="006C423E">
      <w:pPr>
        <w:jc w:val="both"/>
        <w:rPr>
          <w:rFonts w:ascii="Arial" w:hAnsi="Arial" w:cs="Arial"/>
          <w:b/>
          <w:sz w:val="20"/>
          <w:szCs w:val="20"/>
        </w:rPr>
      </w:pPr>
    </w:p>
    <w:p w14:paraId="33954B32" w14:textId="77777777" w:rsidR="00ED24C8" w:rsidRPr="001615D3" w:rsidRDefault="001615D3" w:rsidP="001615D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sz w:val="24"/>
          <w:szCs w:val="24"/>
        </w:rPr>
      </w:pPr>
      <w:r w:rsidRPr="001615D3">
        <w:rPr>
          <w:rFonts w:ascii="Arial" w:hAnsi="Arial" w:cs="Arial"/>
          <w:b/>
          <w:sz w:val="24"/>
          <w:szCs w:val="24"/>
        </w:rPr>
        <w:lastRenderedPageBreak/>
        <w:t xml:space="preserve">Referências: </w:t>
      </w:r>
    </w:p>
    <w:p w14:paraId="0172834D" w14:textId="77777777" w:rsidR="006758C8" w:rsidRPr="006C423E" w:rsidRDefault="006758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1. Manual de Toxicologia Clínica: Orientações para assistência e vigilância das intoxicações agudas / [Organizadores] Edna Maria </w:t>
      </w:r>
      <w:proofErr w:type="spellStart"/>
      <w:r w:rsidRPr="006C423E">
        <w:rPr>
          <w:rFonts w:ascii="Arial" w:hAnsi="Arial" w:cs="Arial"/>
          <w:sz w:val="20"/>
          <w:szCs w:val="20"/>
        </w:rPr>
        <w:t>Miello</w:t>
      </w:r>
      <w:proofErr w:type="spellEnd"/>
      <w:r w:rsidRPr="006C423E">
        <w:rPr>
          <w:rFonts w:ascii="Arial" w:hAnsi="Arial" w:cs="Arial"/>
          <w:sz w:val="20"/>
          <w:szCs w:val="20"/>
        </w:rPr>
        <w:t xml:space="preserve"> Hernandez, Roberto Moacyr Ribeiro Rodrigues, Themis </w:t>
      </w:r>
      <w:proofErr w:type="spellStart"/>
      <w:r w:rsidRPr="006C423E">
        <w:rPr>
          <w:rFonts w:ascii="Arial" w:hAnsi="Arial" w:cs="Arial"/>
          <w:sz w:val="20"/>
          <w:szCs w:val="20"/>
        </w:rPr>
        <w:t>Mizerkowski</w:t>
      </w:r>
      <w:proofErr w:type="spellEnd"/>
      <w:r w:rsidRPr="006C423E">
        <w:rPr>
          <w:rFonts w:ascii="Arial" w:hAnsi="Arial" w:cs="Arial"/>
          <w:sz w:val="20"/>
          <w:szCs w:val="20"/>
        </w:rPr>
        <w:t xml:space="preserve"> Torres. São Paulo: Secretaria Municipal da Saúde, 2017. 465 p.</w:t>
      </w:r>
    </w:p>
    <w:p w14:paraId="2123D50D" w14:textId="77777777" w:rsidR="006758C8" w:rsidRPr="006C423E" w:rsidRDefault="006758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 xml:space="preserve">2. </w:t>
      </w:r>
      <w:r w:rsidR="00992D45" w:rsidRPr="006C423E">
        <w:rPr>
          <w:rFonts w:ascii="Arial" w:hAnsi="Arial" w:cs="Arial"/>
          <w:sz w:val="20"/>
          <w:szCs w:val="20"/>
        </w:rPr>
        <w:t xml:space="preserve">Intoxicações agudas por medicamentos de uso comum em pediatria. Sociedade Brasileira de Pediatria. </w:t>
      </w:r>
      <w:r w:rsidR="00F07B69" w:rsidRPr="006C423E">
        <w:rPr>
          <w:rFonts w:ascii="Arial" w:hAnsi="Arial" w:cs="Arial"/>
          <w:sz w:val="20"/>
          <w:szCs w:val="20"/>
        </w:rPr>
        <w:t>Departamento Científi</w:t>
      </w:r>
      <w:r w:rsidR="00647D33" w:rsidRPr="006C423E">
        <w:rPr>
          <w:rFonts w:ascii="Arial" w:hAnsi="Arial" w:cs="Arial"/>
          <w:sz w:val="20"/>
          <w:szCs w:val="20"/>
        </w:rPr>
        <w:t>co de Toxicologia.  (1): 1-21</w:t>
      </w:r>
      <w:r w:rsidR="00992D45" w:rsidRPr="006C423E">
        <w:rPr>
          <w:rFonts w:ascii="Arial" w:hAnsi="Arial" w:cs="Arial"/>
          <w:sz w:val="20"/>
          <w:szCs w:val="20"/>
        </w:rPr>
        <w:t xml:space="preserve">. Rio de Janeiro, RJ: SBP. </w:t>
      </w:r>
      <w:r w:rsidR="00647D33" w:rsidRPr="006C423E">
        <w:rPr>
          <w:rFonts w:ascii="Arial" w:hAnsi="Arial" w:cs="Arial"/>
          <w:sz w:val="20"/>
          <w:szCs w:val="20"/>
        </w:rPr>
        <w:t>Fevereiro</w:t>
      </w:r>
      <w:r w:rsidR="00992D45" w:rsidRPr="006C423E">
        <w:rPr>
          <w:rFonts w:ascii="Arial" w:hAnsi="Arial" w:cs="Arial"/>
          <w:sz w:val="20"/>
          <w:szCs w:val="20"/>
        </w:rPr>
        <w:t>, 2018.</w:t>
      </w:r>
    </w:p>
    <w:p w14:paraId="76B1106A" w14:textId="77777777" w:rsidR="00DD1CBE" w:rsidRPr="006C423E" w:rsidRDefault="006758C8" w:rsidP="006C423E">
      <w:pPr>
        <w:jc w:val="both"/>
        <w:rPr>
          <w:rFonts w:ascii="Arial" w:hAnsi="Arial" w:cs="Arial"/>
          <w:sz w:val="20"/>
          <w:szCs w:val="20"/>
        </w:rPr>
      </w:pPr>
      <w:r w:rsidRPr="006C423E">
        <w:rPr>
          <w:rFonts w:ascii="Arial" w:hAnsi="Arial" w:cs="Arial"/>
          <w:sz w:val="20"/>
          <w:szCs w:val="20"/>
        </w:rPr>
        <w:t>3</w:t>
      </w:r>
      <w:r w:rsidR="00DD1CBE" w:rsidRPr="006C423E">
        <w:rPr>
          <w:rFonts w:ascii="Arial" w:hAnsi="Arial" w:cs="Arial"/>
          <w:sz w:val="20"/>
          <w:szCs w:val="20"/>
        </w:rPr>
        <w:t xml:space="preserve">. Hospital da Criança de Brasília. Diretriz Interprofissional de Atenção à Criança e ao Adolescente com Ingestão de Substâncias Cáusticas/Silva, Ana Aurélia Rocha da. et al. Brasília: HCB, 2016. Disponível em: </w:t>
      </w:r>
      <w:proofErr w:type="gramStart"/>
      <w:r w:rsidR="00DD1CBE" w:rsidRPr="006C423E">
        <w:rPr>
          <w:rFonts w:ascii="Arial" w:hAnsi="Arial" w:cs="Arial"/>
          <w:sz w:val="20"/>
          <w:szCs w:val="20"/>
        </w:rPr>
        <w:t xml:space="preserve">http://www.hcb.org.br/arquivos/downloads/hcb2016_manual_11_cadernohospital_vdigital_1.pdf </w:t>
      </w:r>
      <w:r w:rsidR="001F0749" w:rsidRPr="006C423E">
        <w:rPr>
          <w:rFonts w:ascii="Arial" w:hAnsi="Arial" w:cs="Arial"/>
          <w:sz w:val="20"/>
          <w:szCs w:val="20"/>
        </w:rPr>
        <w:t>Acessado</w:t>
      </w:r>
      <w:proofErr w:type="gramEnd"/>
      <w:r w:rsidRPr="006C423E">
        <w:rPr>
          <w:rFonts w:ascii="Arial" w:hAnsi="Arial" w:cs="Arial"/>
          <w:sz w:val="20"/>
          <w:szCs w:val="20"/>
        </w:rPr>
        <w:t xml:space="preserve"> em julho de 2018. </w:t>
      </w:r>
    </w:p>
    <w:p w14:paraId="14BEF7BB" w14:textId="75A71687" w:rsidR="006758C8" w:rsidRPr="00A659B5" w:rsidRDefault="001615D3" w:rsidP="00A659B5">
      <w:pPr>
        <w:jc w:val="both"/>
        <w:rPr>
          <w:rFonts w:ascii="Arial" w:hAnsi="Arial" w:cs="Arial"/>
          <w:bCs/>
          <w:sz w:val="20"/>
          <w:szCs w:val="20"/>
        </w:rPr>
      </w:pPr>
      <w:r w:rsidRPr="00A659B5">
        <w:rPr>
          <w:rFonts w:ascii="Arial" w:hAnsi="Arial" w:cs="Arial"/>
          <w:bCs/>
          <w:sz w:val="20"/>
          <w:szCs w:val="20"/>
        </w:rPr>
        <w:t>Responsáve</w:t>
      </w:r>
      <w:r w:rsidR="00A659B5">
        <w:rPr>
          <w:rFonts w:ascii="Arial" w:hAnsi="Arial" w:cs="Arial"/>
          <w:bCs/>
          <w:sz w:val="20"/>
          <w:szCs w:val="20"/>
        </w:rPr>
        <w:t>l</w:t>
      </w:r>
      <w:r w:rsidRPr="00A659B5">
        <w:rPr>
          <w:rFonts w:ascii="Arial" w:hAnsi="Arial" w:cs="Arial"/>
          <w:bCs/>
          <w:sz w:val="20"/>
          <w:szCs w:val="20"/>
        </w:rPr>
        <w:t xml:space="preserve"> </w:t>
      </w:r>
      <w:r w:rsidR="00A659B5">
        <w:rPr>
          <w:rFonts w:ascii="Arial" w:hAnsi="Arial" w:cs="Arial"/>
          <w:bCs/>
          <w:sz w:val="20"/>
          <w:szCs w:val="20"/>
        </w:rPr>
        <w:t>p</w:t>
      </w:r>
      <w:r w:rsidRPr="00A659B5">
        <w:rPr>
          <w:rFonts w:ascii="Arial" w:hAnsi="Arial" w:cs="Arial"/>
          <w:bCs/>
          <w:sz w:val="20"/>
          <w:szCs w:val="20"/>
        </w:rPr>
        <w:t xml:space="preserve">ela </w:t>
      </w:r>
      <w:r w:rsidR="00A659B5">
        <w:rPr>
          <w:rFonts w:ascii="Arial" w:hAnsi="Arial" w:cs="Arial"/>
          <w:bCs/>
          <w:sz w:val="20"/>
          <w:szCs w:val="20"/>
        </w:rPr>
        <w:t>e</w:t>
      </w:r>
      <w:r w:rsidRPr="00A659B5">
        <w:rPr>
          <w:rFonts w:ascii="Arial" w:hAnsi="Arial" w:cs="Arial"/>
          <w:bCs/>
          <w:sz w:val="20"/>
          <w:szCs w:val="20"/>
        </w:rPr>
        <w:t xml:space="preserve">laboração </w:t>
      </w:r>
      <w:r w:rsidR="00A659B5">
        <w:rPr>
          <w:rFonts w:ascii="Arial" w:hAnsi="Arial" w:cs="Arial"/>
          <w:bCs/>
          <w:sz w:val="20"/>
          <w:szCs w:val="20"/>
        </w:rPr>
        <w:t>d</w:t>
      </w:r>
      <w:r w:rsidRPr="00A659B5">
        <w:rPr>
          <w:rFonts w:ascii="Arial" w:hAnsi="Arial" w:cs="Arial"/>
          <w:bCs/>
          <w:sz w:val="20"/>
          <w:szCs w:val="20"/>
        </w:rPr>
        <w:t xml:space="preserve">a </w:t>
      </w:r>
      <w:r w:rsidR="00A659B5">
        <w:rPr>
          <w:rFonts w:ascii="Arial" w:hAnsi="Arial" w:cs="Arial"/>
          <w:bCs/>
          <w:sz w:val="20"/>
          <w:szCs w:val="20"/>
        </w:rPr>
        <w:t>r</w:t>
      </w:r>
      <w:r w:rsidRPr="00A659B5">
        <w:rPr>
          <w:rFonts w:ascii="Arial" w:hAnsi="Arial" w:cs="Arial"/>
          <w:bCs/>
          <w:sz w:val="20"/>
          <w:szCs w:val="20"/>
        </w:rPr>
        <w:t>otina:</w:t>
      </w:r>
      <w:r w:rsidR="00A659B5">
        <w:rPr>
          <w:rFonts w:ascii="Arial" w:hAnsi="Arial" w:cs="Arial"/>
          <w:bCs/>
          <w:sz w:val="20"/>
          <w:szCs w:val="20"/>
        </w:rPr>
        <w:t xml:space="preserve"> </w:t>
      </w:r>
      <w:r w:rsidR="00A659B5" w:rsidRPr="00A659B5">
        <w:rPr>
          <w:rFonts w:ascii="Arial" w:hAnsi="Arial" w:cs="Arial"/>
          <w:sz w:val="20"/>
          <w:szCs w:val="20"/>
        </w:rPr>
        <w:t xml:space="preserve">Dra. </w:t>
      </w:r>
      <w:r w:rsidR="006758C8" w:rsidRPr="00A659B5">
        <w:rPr>
          <w:rFonts w:ascii="Arial" w:hAnsi="Arial" w:cs="Arial"/>
          <w:sz w:val="20"/>
          <w:szCs w:val="20"/>
        </w:rPr>
        <w:t xml:space="preserve">Ana Luiza Melo dos Santos </w:t>
      </w:r>
    </w:p>
    <w:p w14:paraId="7D328E8F" w14:textId="77777777" w:rsidR="00ED24C8" w:rsidRPr="006C423E" w:rsidRDefault="00ED24C8" w:rsidP="006C423E">
      <w:pPr>
        <w:jc w:val="both"/>
        <w:rPr>
          <w:rFonts w:ascii="Arial" w:hAnsi="Arial" w:cs="Arial"/>
          <w:sz w:val="20"/>
          <w:szCs w:val="20"/>
        </w:rPr>
      </w:pPr>
    </w:p>
    <w:p w14:paraId="1793FBB0" w14:textId="77777777" w:rsidR="00ED24C8" w:rsidRPr="006C423E" w:rsidRDefault="00ED24C8" w:rsidP="006C423E">
      <w:pPr>
        <w:jc w:val="both"/>
        <w:rPr>
          <w:rFonts w:ascii="Arial" w:hAnsi="Arial" w:cs="Arial"/>
          <w:sz w:val="20"/>
          <w:szCs w:val="20"/>
        </w:rPr>
      </w:pPr>
    </w:p>
    <w:p w14:paraId="232B4C9B" w14:textId="77777777" w:rsidR="00ED24C8" w:rsidRPr="006C423E" w:rsidRDefault="00ED24C8" w:rsidP="006C423E">
      <w:pPr>
        <w:jc w:val="both"/>
        <w:rPr>
          <w:rFonts w:ascii="Arial" w:hAnsi="Arial" w:cs="Arial"/>
          <w:sz w:val="20"/>
          <w:szCs w:val="20"/>
        </w:rPr>
      </w:pPr>
    </w:p>
    <w:p w14:paraId="4F269C97" w14:textId="77777777" w:rsidR="007B7D2A" w:rsidRPr="006C423E" w:rsidRDefault="007B7D2A" w:rsidP="006C423E">
      <w:pPr>
        <w:jc w:val="both"/>
        <w:rPr>
          <w:rFonts w:ascii="Arial" w:hAnsi="Arial" w:cs="Arial"/>
          <w:sz w:val="20"/>
          <w:szCs w:val="20"/>
        </w:rPr>
      </w:pPr>
    </w:p>
    <w:p w14:paraId="1752353C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47D0F33F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3610976C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358DD46A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1D1AB99B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254F33A5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6A7D0D97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5A7F5317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61A36F26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55EBDDD2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p w14:paraId="54A99309" w14:textId="77777777" w:rsidR="00756F5E" w:rsidRPr="006C423E" w:rsidRDefault="00756F5E" w:rsidP="006C423E">
      <w:pPr>
        <w:jc w:val="both"/>
        <w:rPr>
          <w:rFonts w:ascii="Arial" w:hAnsi="Arial" w:cs="Arial"/>
          <w:sz w:val="20"/>
          <w:szCs w:val="20"/>
        </w:rPr>
      </w:pPr>
    </w:p>
    <w:sectPr w:rsidR="00756F5E" w:rsidRPr="006C4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C3104"/>
    <w:multiLevelType w:val="hybridMultilevel"/>
    <w:tmpl w:val="0FA2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001A"/>
    <w:multiLevelType w:val="hybridMultilevel"/>
    <w:tmpl w:val="C0AAE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1B87"/>
    <w:multiLevelType w:val="hybridMultilevel"/>
    <w:tmpl w:val="2C5E8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4566F"/>
    <w:multiLevelType w:val="hybridMultilevel"/>
    <w:tmpl w:val="54606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B29C2"/>
    <w:multiLevelType w:val="hybridMultilevel"/>
    <w:tmpl w:val="A7F4D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61E3E"/>
    <w:multiLevelType w:val="hybridMultilevel"/>
    <w:tmpl w:val="EF1CCE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D79F3"/>
    <w:multiLevelType w:val="hybridMultilevel"/>
    <w:tmpl w:val="4FAA9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118D9"/>
    <w:multiLevelType w:val="hybridMultilevel"/>
    <w:tmpl w:val="F75C4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806A9"/>
    <w:multiLevelType w:val="hybridMultilevel"/>
    <w:tmpl w:val="33FE0C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D5011"/>
    <w:multiLevelType w:val="hybridMultilevel"/>
    <w:tmpl w:val="E09AF7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D65A4"/>
    <w:multiLevelType w:val="hybridMultilevel"/>
    <w:tmpl w:val="2CE24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475599"/>
    <w:multiLevelType w:val="hybridMultilevel"/>
    <w:tmpl w:val="438CD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C0665"/>
    <w:multiLevelType w:val="hybridMultilevel"/>
    <w:tmpl w:val="F09C10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CC2A2B"/>
    <w:multiLevelType w:val="hybridMultilevel"/>
    <w:tmpl w:val="2228B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B05BE"/>
    <w:multiLevelType w:val="hybridMultilevel"/>
    <w:tmpl w:val="E8F8E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F3E74"/>
    <w:multiLevelType w:val="hybridMultilevel"/>
    <w:tmpl w:val="7758F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B3148"/>
    <w:multiLevelType w:val="hybridMultilevel"/>
    <w:tmpl w:val="A67A3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F7878"/>
    <w:multiLevelType w:val="hybridMultilevel"/>
    <w:tmpl w:val="ADB0C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17647"/>
    <w:multiLevelType w:val="hybridMultilevel"/>
    <w:tmpl w:val="C15ED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8A3734"/>
    <w:multiLevelType w:val="hybridMultilevel"/>
    <w:tmpl w:val="38F463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877814"/>
    <w:multiLevelType w:val="hybridMultilevel"/>
    <w:tmpl w:val="E8408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A2CEC"/>
    <w:multiLevelType w:val="hybridMultilevel"/>
    <w:tmpl w:val="A3C2BA4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5A51E2"/>
    <w:multiLevelType w:val="hybridMultilevel"/>
    <w:tmpl w:val="4852E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40E"/>
    <w:multiLevelType w:val="hybridMultilevel"/>
    <w:tmpl w:val="024A3A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A7701F"/>
    <w:multiLevelType w:val="hybridMultilevel"/>
    <w:tmpl w:val="DDF6A1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F6683"/>
    <w:multiLevelType w:val="hybridMultilevel"/>
    <w:tmpl w:val="3870853A"/>
    <w:lvl w:ilvl="0" w:tplc="388E1F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32E0B"/>
    <w:multiLevelType w:val="hybridMultilevel"/>
    <w:tmpl w:val="171CD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0685E"/>
    <w:multiLevelType w:val="hybridMultilevel"/>
    <w:tmpl w:val="7B04D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C163B"/>
    <w:multiLevelType w:val="hybridMultilevel"/>
    <w:tmpl w:val="F8928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16"/>
  </w:num>
  <w:num w:numId="4">
    <w:abstractNumId w:val="14"/>
  </w:num>
  <w:num w:numId="5">
    <w:abstractNumId w:val="18"/>
  </w:num>
  <w:num w:numId="6">
    <w:abstractNumId w:val="10"/>
  </w:num>
  <w:num w:numId="7">
    <w:abstractNumId w:val="1"/>
  </w:num>
  <w:num w:numId="8">
    <w:abstractNumId w:val="12"/>
  </w:num>
  <w:num w:numId="9">
    <w:abstractNumId w:val="22"/>
  </w:num>
  <w:num w:numId="10">
    <w:abstractNumId w:val="17"/>
  </w:num>
  <w:num w:numId="11">
    <w:abstractNumId w:val="23"/>
  </w:num>
  <w:num w:numId="12">
    <w:abstractNumId w:val="11"/>
  </w:num>
  <w:num w:numId="13">
    <w:abstractNumId w:val="20"/>
  </w:num>
  <w:num w:numId="14">
    <w:abstractNumId w:val="15"/>
  </w:num>
  <w:num w:numId="15">
    <w:abstractNumId w:val="27"/>
  </w:num>
  <w:num w:numId="16">
    <w:abstractNumId w:val="6"/>
  </w:num>
  <w:num w:numId="17">
    <w:abstractNumId w:val="24"/>
  </w:num>
  <w:num w:numId="18">
    <w:abstractNumId w:val="0"/>
  </w:num>
  <w:num w:numId="19">
    <w:abstractNumId w:val="8"/>
  </w:num>
  <w:num w:numId="20">
    <w:abstractNumId w:val="19"/>
  </w:num>
  <w:num w:numId="21">
    <w:abstractNumId w:val="9"/>
  </w:num>
  <w:num w:numId="22">
    <w:abstractNumId w:val="13"/>
  </w:num>
  <w:num w:numId="23">
    <w:abstractNumId w:val="2"/>
  </w:num>
  <w:num w:numId="24">
    <w:abstractNumId w:val="7"/>
  </w:num>
  <w:num w:numId="25">
    <w:abstractNumId w:val="21"/>
  </w:num>
  <w:num w:numId="26">
    <w:abstractNumId w:val="25"/>
  </w:num>
  <w:num w:numId="27">
    <w:abstractNumId w:val="5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43D"/>
    <w:rsid w:val="00003576"/>
    <w:rsid w:val="00042047"/>
    <w:rsid w:val="000609B1"/>
    <w:rsid w:val="00061891"/>
    <w:rsid w:val="000E1D74"/>
    <w:rsid w:val="000E7825"/>
    <w:rsid w:val="001615D3"/>
    <w:rsid w:val="001F0749"/>
    <w:rsid w:val="0021695F"/>
    <w:rsid w:val="00293615"/>
    <w:rsid w:val="00293CE6"/>
    <w:rsid w:val="002C59B1"/>
    <w:rsid w:val="002F4C66"/>
    <w:rsid w:val="00323ECC"/>
    <w:rsid w:val="0032543D"/>
    <w:rsid w:val="00366D7E"/>
    <w:rsid w:val="00460535"/>
    <w:rsid w:val="004800ED"/>
    <w:rsid w:val="004A42B7"/>
    <w:rsid w:val="004E23A7"/>
    <w:rsid w:val="00532061"/>
    <w:rsid w:val="00541D78"/>
    <w:rsid w:val="00582A3A"/>
    <w:rsid w:val="005A3612"/>
    <w:rsid w:val="005A6337"/>
    <w:rsid w:val="00610F4A"/>
    <w:rsid w:val="00647D33"/>
    <w:rsid w:val="006758C8"/>
    <w:rsid w:val="006C095E"/>
    <w:rsid w:val="006C423E"/>
    <w:rsid w:val="006F6DF6"/>
    <w:rsid w:val="0071443A"/>
    <w:rsid w:val="00730F73"/>
    <w:rsid w:val="00756F5E"/>
    <w:rsid w:val="00760312"/>
    <w:rsid w:val="007904CB"/>
    <w:rsid w:val="007B7D2A"/>
    <w:rsid w:val="007C02F7"/>
    <w:rsid w:val="00846500"/>
    <w:rsid w:val="008B2C1A"/>
    <w:rsid w:val="008B77CB"/>
    <w:rsid w:val="00905508"/>
    <w:rsid w:val="00923CC4"/>
    <w:rsid w:val="00977CF1"/>
    <w:rsid w:val="0098049F"/>
    <w:rsid w:val="009820D4"/>
    <w:rsid w:val="0098555D"/>
    <w:rsid w:val="00990717"/>
    <w:rsid w:val="00992D45"/>
    <w:rsid w:val="00A659B5"/>
    <w:rsid w:val="00AB1FCF"/>
    <w:rsid w:val="00B669D9"/>
    <w:rsid w:val="00B85363"/>
    <w:rsid w:val="00B95550"/>
    <w:rsid w:val="00BB349A"/>
    <w:rsid w:val="00BF0EF6"/>
    <w:rsid w:val="00BF4A83"/>
    <w:rsid w:val="00C15E14"/>
    <w:rsid w:val="00C21004"/>
    <w:rsid w:val="00C37610"/>
    <w:rsid w:val="00D16A97"/>
    <w:rsid w:val="00D17810"/>
    <w:rsid w:val="00DA18F2"/>
    <w:rsid w:val="00DA59EC"/>
    <w:rsid w:val="00DC5109"/>
    <w:rsid w:val="00DD1CBE"/>
    <w:rsid w:val="00DF1D6A"/>
    <w:rsid w:val="00E5274F"/>
    <w:rsid w:val="00E770C1"/>
    <w:rsid w:val="00ED24C8"/>
    <w:rsid w:val="00EE0E19"/>
    <w:rsid w:val="00F07B69"/>
    <w:rsid w:val="00F17AA6"/>
    <w:rsid w:val="00F9223E"/>
    <w:rsid w:val="00F95112"/>
    <w:rsid w:val="00FC5447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0A97"/>
  <w15:docId w15:val="{89494229-1D6B-4389-A405-EA4DE01B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30F7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1443A"/>
    <w:pPr>
      <w:ind w:left="720"/>
      <w:contextualSpacing/>
    </w:pPr>
  </w:style>
  <w:style w:type="table" w:styleId="Tabelacomgrade">
    <w:name w:val="Table Grid"/>
    <w:basedOn w:val="Tabelanormal"/>
    <w:uiPriority w:val="59"/>
    <w:rsid w:val="00E77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E77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3458</Words>
  <Characters>18676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RODOLFO ROCHANETO</cp:lastModifiedBy>
  <cp:revision>7</cp:revision>
  <dcterms:created xsi:type="dcterms:W3CDTF">2018-07-31T00:21:00Z</dcterms:created>
  <dcterms:modified xsi:type="dcterms:W3CDTF">2020-05-18T02:51:00Z</dcterms:modified>
</cp:coreProperties>
</file>