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080E0" w14:textId="5B828968" w:rsidR="001A7875" w:rsidRPr="00DD3DBE" w:rsidRDefault="00953BC7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sz w:val="20"/>
          <w:szCs w:val="20"/>
        </w:rPr>
        <w:t xml:space="preserve">  </w:t>
      </w:r>
    </w:p>
    <w:p w14:paraId="49CCFE05" w14:textId="4C92CA82" w:rsidR="001A7875" w:rsidRPr="00647F1D" w:rsidRDefault="00647F1D" w:rsidP="00647F1D">
      <w:pPr>
        <w:pStyle w:val="Default"/>
        <w:spacing w:line="276" w:lineRule="auto"/>
        <w:rPr>
          <w:rFonts w:ascii="Arial" w:hAnsi="Arial" w:cs="Arial"/>
          <w:bCs/>
          <w:color w:val="auto"/>
          <w:sz w:val="28"/>
          <w:szCs w:val="28"/>
        </w:rPr>
      </w:pPr>
      <w:r>
        <w:rPr>
          <w:rFonts w:ascii="Arial" w:hAnsi="Arial" w:cs="Arial"/>
          <w:bCs/>
          <w:color w:val="auto"/>
          <w:sz w:val="28"/>
          <w:szCs w:val="28"/>
        </w:rPr>
        <w:t xml:space="preserve">   </w:t>
      </w:r>
      <w:r w:rsidR="00DD3DBE" w:rsidRPr="00647F1D">
        <w:rPr>
          <w:rFonts w:ascii="Arial" w:hAnsi="Arial" w:cs="Arial"/>
          <w:bCs/>
          <w:color w:val="auto"/>
          <w:sz w:val="28"/>
          <w:szCs w:val="28"/>
        </w:rPr>
        <w:t xml:space="preserve">MENINGITES BACTERIANAS </w:t>
      </w:r>
      <w:r>
        <w:rPr>
          <w:rFonts w:ascii="Arial" w:hAnsi="Arial" w:cs="Arial"/>
          <w:bCs/>
          <w:color w:val="auto"/>
          <w:sz w:val="28"/>
          <w:szCs w:val="28"/>
        </w:rPr>
        <w:t xml:space="preserve">NA INFÂNCIA - </w:t>
      </w:r>
      <w:r w:rsidRPr="00647F1D">
        <w:rPr>
          <w:rFonts w:ascii="Arial" w:hAnsi="Arial" w:cs="Arial"/>
          <w:bCs/>
          <w:color w:val="auto"/>
          <w:sz w:val="28"/>
          <w:szCs w:val="28"/>
        </w:rPr>
        <w:t>fora do período neonatal</w:t>
      </w:r>
    </w:p>
    <w:p w14:paraId="5839EE57" w14:textId="77777777" w:rsidR="00DD3DBE" w:rsidRPr="00DD3DBE" w:rsidRDefault="00DD3DBE" w:rsidP="00DD3DBE">
      <w:pPr>
        <w:pStyle w:val="Default"/>
        <w:spacing w:line="276" w:lineRule="auto"/>
        <w:jc w:val="center"/>
        <w:rPr>
          <w:rFonts w:ascii="Arial" w:hAnsi="Arial" w:cs="Arial"/>
          <w:b/>
          <w:color w:val="auto"/>
        </w:rPr>
      </w:pPr>
    </w:p>
    <w:p w14:paraId="4179685B" w14:textId="77777777" w:rsidR="005E61FA" w:rsidRPr="00DD3DBE" w:rsidRDefault="005E61FA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9A54259" w14:textId="77777777" w:rsidR="001A7875" w:rsidRPr="00DD3DBE" w:rsidRDefault="00DD3DBE" w:rsidP="00DD3DBE">
      <w:pPr>
        <w:pStyle w:val="Default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 xml:space="preserve">Diagnóstico Clínico: </w:t>
      </w:r>
    </w:p>
    <w:p w14:paraId="03EF41A1" w14:textId="77777777" w:rsidR="0007214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D3DBE">
        <w:rPr>
          <w:rFonts w:ascii="Arial" w:hAnsi="Arial" w:cs="Arial"/>
          <w:b/>
          <w:color w:val="auto"/>
          <w:sz w:val="20"/>
          <w:szCs w:val="20"/>
        </w:rPr>
        <w:t xml:space="preserve">        </w:t>
      </w:r>
      <w:r w:rsidR="0007214E" w:rsidRPr="00DD3DBE">
        <w:rPr>
          <w:rFonts w:ascii="Arial" w:hAnsi="Arial" w:cs="Arial"/>
          <w:b/>
          <w:color w:val="auto"/>
          <w:sz w:val="20"/>
          <w:szCs w:val="20"/>
        </w:rPr>
        <w:t xml:space="preserve">Fatores de risco: </w:t>
      </w:r>
    </w:p>
    <w:p w14:paraId="0CB5632E" w14:textId="77777777" w:rsidR="0007214E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Lactentes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25AA9D33" w14:textId="77777777" w:rsidR="004B41DD" w:rsidRPr="00DD3DBE" w:rsidRDefault="006251F0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Desnutrição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1D5D7DEE" w14:textId="77777777" w:rsidR="004B41DD" w:rsidRPr="00DD3DBE" w:rsidRDefault="006251F0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Desmame precoce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26B4C31E" w14:textId="77777777" w:rsidR="004B41DD" w:rsidRDefault="006251F0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V</w:t>
      </w:r>
      <w:r w:rsidR="004B41DD" w:rsidRPr="00DD3DBE">
        <w:rPr>
          <w:rFonts w:ascii="Arial" w:hAnsi="Arial" w:cs="Arial"/>
          <w:color w:val="auto"/>
          <w:sz w:val="20"/>
          <w:szCs w:val="20"/>
        </w:rPr>
        <w:t>acina</w:t>
      </w:r>
      <w:r w:rsidRPr="00DD3DBE">
        <w:rPr>
          <w:rFonts w:ascii="Arial" w:hAnsi="Arial" w:cs="Arial"/>
          <w:color w:val="auto"/>
          <w:sz w:val="20"/>
          <w:szCs w:val="20"/>
        </w:rPr>
        <w:t>ção atrasada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7FAE1D74" w14:textId="77777777" w:rsidR="00DD3DBE" w:rsidRPr="00DD3DBE" w:rsidRDefault="00DD3DB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5ACD6E3" w14:textId="77777777" w:rsidR="00DE6579" w:rsidRPr="00DD3DBE" w:rsidRDefault="00854F47" w:rsidP="00DD3DBE">
      <w:pPr>
        <w:pStyle w:val="Default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>Sinais e sintomas de suspeição</w:t>
      </w:r>
      <w:r w:rsidR="00DE6579" w:rsidRPr="00DD3DBE">
        <w:rPr>
          <w:rFonts w:ascii="Arial" w:hAnsi="Arial" w:cs="Arial"/>
          <w:b/>
          <w:color w:val="auto"/>
        </w:rPr>
        <w:t>:</w:t>
      </w:r>
    </w:p>
    <w:p w14:paraId="62BCA418" w14:textId="77777777" w:rsidR="00854F47" w:rsidRPr="00DD3DBE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Febre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79F0208E" w14:textId="77777777" w:rsidR="00854F47" w:rsidRPr="00DD3DBE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Depressão do sensório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0C1DE0C0" w14:textId="77777777" w:rsidR="005F7019" w:rsidRPr="00DD3DBE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Cefaléia</w:t>
      </w:r>
      <w:proofErr w:type="spellEnd"/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7143CE49" w14:textId="77777777" w:rsidR="00854F47" w:rsidRPr="00DD3DBE" w:rsidRDefault="005F7019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D</w:t>
      </w:r>
      <w:r w:rsidR="00854F47" w:rsidRPr="00DD3DBE">
        <w:rPr>
          <w:rFonts w:ascii="Arial" w:hAnsi="Arial" w:cs="Arial"/>
          <w:color w:val="auto"/>
          <w:sz w:val="20"/>
          <w:szCs w:val="20"/>
        </w:rPr>
        <w:t>or no pescoço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514DAA9F" w14:textId="77777777" w:rsidR="00854F47" w:rsidRPr="00DD3DBE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Vômitos e vômitos em jato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2B978961" w14:textId="77777777" w:rsidR="00854F47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Abaulamento de fontanelas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6F7E0C20" w14:textId="77777777" w:rsidR="00DD3DBE" w:rsidRPr="00DD3DBE" w:rsidRDefault="00DD3DB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51A4292D" w14:textId="77777777" w:rsidR="00854F47" w:rsidRPr="00DD3DBE" w:rsidRDefault="00854F47" w:rsidP="00DD3DBE">
      <w:pPr>
        <w:pStyle w:val="Default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 xml:space="preserve">Sinais de irritação </w:t>
      </w:r>
      <w:proofErr w:type="spellStart"/>
      <w:r w:rsidRPr="00DD3DBE">
        <w:rPr>
          <w:rFonts w:ascii="Arial" w:hAnsi="Arial" w:cs="Arial"/>
          <w:b/>
          <w:color w:val="auto"/>
        </w:rPr>
        <w:t>meningo</w:t>
      </w:r>
      <w:proofErr w:type="spellEnd"/>
      <w:r w:rsidRPr="00DD3DBE">
        <w:rPr>
          <w:rFonts w:ascii="Arial" w:hAnsi="Arial" w:cs="Arial"/>
          <w:b/>
          <w:color w:val="auto"/>
        </w:rPr>
        <w:t>-radicular:</w:t>
      </w:r>
    </w:p>
    <w:p w14:paraId="21CC7F70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854F47" w:rsidRPr="00DD3DBE">
        <w:rPr>
          <w:rFonts w:ascii="Arial" w:hAnsi="Arial" w:cs="Arial"/>
          <w:color w:val="auto"/>
          <w:sz w:val="20"/>
          <w:szCs w:val="20"/>
        </w:rPr>
        <w:t>Rigidez de nuca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3D41A83B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854F47" w:rsidRPr="00DD3DBE">
        <w:rPr>
          <w:rFonts w:ascii="Arial" w:hAnsi="Arial" w:cs="Arial"/>
          <w:color w:val="auto"/>
          <w:sz w:val="20"/>
          <w:szCs w:val="20"/>
        </w:rPr>
        <w:t xml:space="preserve">Sinal de </w:t>
      </w:r>
      <w:proofErr w:type="spellStart"/>
      <w:r w:rsidR="00854F47" w:rsidRPr="00DD3DBE">
        <w:rPr>
          <w:rFonts w:ascii="Arial" w:hAnsi="Arial" w:cs="Arial"/>
          <w:color w:val="auto"/>
          <w:sz w:val="20"/>
          <w:szCs w:val="20"/>
        </w:rPr>
        <w:t>Kernig</w:t>
      </w:r>
      <w:proofErr w:type="spellEnd"/>
      <w:r>
        <w:rPr>
          <w:rFonts w:ascii="Arial" w:hAnsi="Arial" w:cs="Arial"/>
          <w:color w:val="auto"/>
          <w:sz w:val="20"/>
          <w:szCs w:val="20"/>
        </w:rPr>
        <w:t>;</w:t>
      </w:r>
    </w:p>
    <w:p w14:paraId="1ADFB049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854F47" w:rsidRPr="00DD3DBE">
        <w:rPr>
          <w:rFonts w:ascii="Arial" w:hAnsi="Arial" w:cs="Arial"/>
          <w:color w:val="auto"/>
          <w:sz w:val="20"/>
          <w:szCs w:val="20"/>
        </w:rPr>
        <w:t xml:space="preserve">Sinal de </w:t>
      </w:r>
      <w:proofErr w:type="spellStart"/>
      <w:r w:rsidR="00854F47" w:rsidRPr="00DD3DBE">
        <w:rPr>
          <w:rFonts w:ascii="Arial" w:hAnsi="Arial" w:cs="Arial"/>
          <w:color w:val="auto"/>
          <w:sz w:val="20"/>
          <w:szCs w:val="20"/>
        </w:rPr>
        <w:t>Brudzinsky</w:t>
      </w:r>
      <w:proofErr w:type="spellEnd"/>
      <w:r>
        <w:rPr>
          <w:rFonts w:ascii="Arial" w:hAnsi="Arial" w:cs="Arial"/>
          <w:color w:val="auto"/>
          <w:sz w:val="20"/>
          <w:szCs w:val="20"/>
        </w:rPr>
        <w:t>;</w:t>
      </w:r>
    </w:p>
    <w:p w14:paraId="127A93A0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854F47" w:rsidRPr="00DD3DBE">
        <w:rPr>
          <w:rFonts w:ascii="Arial" w:hAnsi="Arial" w:cs="Arial"/>
          <w:color w:val="auto"/>
          <w:sz w:val="20"/>
          <w:szCs w:val="20"/>
        </w:rPr>
        <w:t>Sinal do Tripé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37E0FF6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r w:rsidR="00854F47" w:rsidRPr="00DD3DBE">
        <w:rPr>
          <w:rFonts w:ascii="Arial" w:hAnsi="Arial" w:cs="Arial"/>
          <w:color w:val="auto"/>
          <w:sz w:val="20"/>
          <w:szCs w:val="20"/>
        </w:rPr>
        <w:t>Posição no leito em gatilho de espingarda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1636F1A3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 </w:t>
      </w:r>
      <w:proofErr w:type="spellStart"/>
      <w:r w:rsidR="00854F47" w:rsidRPr="00DD3DBE">
        <w:rPr>
          <w:rFonts w:ascii="Arial" w:hAnsi="Arial" w:cs="Arial"/>
          <w:color w:val="auto"/>
          <w:sz w:val="20"/>
          <w:szCs w:val="20"/>
        </w:rPr>
        <w:t>Opistótono</w:t>
      </w:r>
      <w:proofErr w:type="spellEnd"/>
      <w:r>
        <w:rPr>
          <w:rFonts w:ascii="Arial" w:hAnsi="Arial" w:cs="Arial"/>
          <w:color w:val="auto"/>
          <w:sz w:val="20"/>
          <w:szCs w:val="20"/>
        </w:rPr>
        <w:t>;</w:t>
      </w:r>
    </w:p>
    <w:p w14:paraId="54E0C691" w14:textId="77777777" w:rsidR="00854F47" w:rsidRPr="00DD3DBE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Convulsões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4E2E8609" w14:textId="77777777" w:rsidR="00854F47" w:rsidRDefault="00854F47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Coma</w:t>
      </w:r>
      <w:r w:rsidR="00DD3DBE">
        <w:rPr>
          <w:rFonts w:ascii="Arial" w:hAnsi="Arial" w:cs="Arial"/>
          <w:color w:val="auto"/>
          <w:sz w:val="20"/>
          <w:szCs w:val="20"/>
        </w:rPr>
        <w:t>.</w:t>
      </w:r>
    </w:p>
    <w:p w14:paraId="69D8ED8B" w14:textId="77777777" w:rsidR="00DD3DBE" w:rsidRPr="00DD3DBE" w:rsidRDefault="00DD3DB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14:paraId="421DEB60" w14:textId="77777777" w:rsidR="005F7019" w:rsidRPr="00DD3DBE" w:rsidRDefault="005F7019" w:rsidP="00DD3DBE">
      <w:pPr>
        <w:pStyle w:val="Default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>Estado geral debilitado sem diagnóstico</w:t>
      </w:r>
      <w:r w:rsidR="00DD3DBE">
        <w:rPr>
          <w:rFonts w:ascii="Arial" w:hAnsi="Arial" w:cs="Arial"/>
          <w:b/>
          <w:color w:val="auto"/>
        </w:rPr>
        <w:t>:</w:t>
      </w:r>
    </w:p>
    <w:p w14:paraId="10DBA1B6" w14:textId="77777777" w:rsidR="00854F47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  </w:t>
      </w:r>
      <w:r w:rsidR="004B41DD" w:rsidRPr="00DD3DBE">
        <w:rPr>
          <w:rFonts w:ascii="Arial" w:hAnsi="Arial" w:cs="Arial"/>
          <w:b/>
          <w:color w:val="auto"/>
          <w:sz w:val="20"/>
          <w:szCs w:val="20"/>
        </w:rPr>
        <w:t>Agentes etiológicos conforme a situação:</w:t>
      </w:r>
    </w:p>
    <w:p w14:paraId="54D782CE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0 a 2 meses: </w:t>
      </w:r>
      <w:r w:rsidRPr="00DD3DBE">
        <w:rPr>
          <w:rFonts w:ascii="Arial" w:hAnsi="Arial" w:cs="Arial"/>
          <w:i/>
          <w:color w:val="auto"/>
          <w:sz w:val="20"/>
          <w:szCs w:val="20"/>
        </w:rPr>
        <w:t>Streptococcus do grupo B</w:t>
      </w:r>
      <w:r w:rsidRPr="00DD3DBE">
        <w:rPr>
          <w:rFonts w:ascii="Arial" w:hAnsi="Arial" w:cs="Arial"/>
          <w:color w:val="auto"/>
          <w:sz w:val="20"/>
          <w:szCs w:val="20"/>
        </w:rPr>
        <w:t>, enterobactérias (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E. coli,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Klebsiela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,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Proteus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sp</w:t>
      </w:r>
      <w:r w:rsidRPr="00DD3DBE">
        <w:rPr>
          <w:rFonts w:ascii="Arial" w:hAnsi="Arial" w:cs="Arial"/>
          <w:color w:val="auto"/>
          <w:sz w:val="20"/>
          <w:szCs w:val="20"/>
        </w:rPr>
        <w:t>.)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6AC201CF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2 meses a 5 anos: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b,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Neisseria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meningitidis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e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Streptococcus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pneumoniae</w:t>
      </w:r>
      <w:proofErr w:type="spellEnd"/>
    </w:p>
    <w:p w14:paraId="2FCC4E66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Crianças com 5 anos ou mais: Neisseria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meningitidis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e Streptococcus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pneumoniae</w:t>
      </w:r>
      <w:proofErr w:type="spellEnd"/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4BE85D9F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i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Idosos e casos atípicos: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b,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Neisseria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meningitidis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e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Streptococcus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pneumoniae</w:t>
      </w:r>
      <w:proofErr w:type="spellEnd"/>
      <w:r w:rsidR="00DD3DBE">
        <w:rPr>
          <w:rFonts w:ascii="Arial" w:hAnsi="Arial" w:cs="Arial"/>
          <w:i/>
          <w:color w:val="auto"/>
          <w:sz w:val="20"/>
          <w:szCs w:val="20"/>
        </w:rPr>
        <w:t>;</w:t>
      </w:r>
    </w:p>
    <w:p w14:paraId="2C5C69F0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Pacientes vacinados contra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b: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Neisseria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meningitidis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e </w:t>
      </w:r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Streptococcus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pneumoniae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r w:rsidRPr="00DD3DBE">
        <w:rPr>
          <w:rFonts w:ascii="Arial" w:hAnsi="Arial" w:cs="Arial"/>
          <w:color w:val="auto"/>
          <w:sz w:val="20"/>
          <w:szCs w:val="20"/>
        </w:rPr>
        <w:t xml:space="preserve">e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i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 em cerca de 3% dos casos</w:t>
      </w:r>
    </w:p>
    <w:p w14:paraId="7058F978" w14:textId="77777777" w:rsidR="004B41DD" w:rsidRPr="00DD3DBE" w:rsidRDefault="004B41DD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Em todas as idades: 30 a 40% de meningites sabidamente bacterianas, mas de etiologia indeterminada (sem crescimento nas culturas)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20677645" w14:textId="77777777" w:rsidR="004B41DD" w:rsidRPr="00DD3DBE" w:rsidRDefault="004B41DD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C30EA57" w14:textId="77777777" w:rsidR="00BE2342" w:rsidRPr="00DD3DBE" w:rsidRDefault="00DD3DBE" w:rsidP="00DD3DBE">
      <w:pPr>
        <w:pStyle w:val="Default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>Diagnóstico Laboratorial:</w:t>
      </w:r>
    </w:p>
    <w:p w14:paraId="3B9AEB11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  </w:t>
      </w:r>
      <w:r w:rsidR="005459AE" w:rsidRPr="00DD3DBE">
        <w:rPr>
          <w:rFonts w:ascii="Arial" w:hAnsi="Arial" w:cs="Arial"/>
          <w:b/>
          <w:color w:val="auto"/>
          <w:sz w:val="20"/>
          <w:szCs w:val="20"/>
        </w:rPr>
        <w:t>Punção lombar:</w:t>
      </w:r>
    </w:p>
    <w:p w14:paraId="4138AE63" w14:textId="77777777" w:rsidR="005459AE" w:rsidRPr="00DD3DBE" w:rsidRDefault="005459A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Valorizar e descrever aspecto e tensão.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Líqüor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normal: água de rocha</w:t>
      </w:r>
    </w:p>
    <w:p w14:paraId="3686E32F" w14:textId="77777777" w:rsidR="005459AE" w:rsidRPr="00DD3DBE" w:rsidRDefault="005459A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Glicorraquia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: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normal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se 2/3 ou mais em relação à glicemia.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Glicorraquia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de 30mg% ou menor somada ao critério de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citometria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descrito abaixo tem alta especificidade e boa sensibilidade para o diagnóstico de meningite bacteriana. Em casos clássicos são alcançados níveis menores de 10 mg% e não raramente próximos ou iguais a 0 mg%.</w:t>
      </w:r>
    </w:p>
    <w:p w14:paraId="6FC64608" w14:textId="77777777" w:rsidR="005459AE" w:rsidRPr="00DD3DBE" w:rsidRDefault="005459A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Citometria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: normal até 4 células mononucleares/mm3. Contagens maiores de 300 células/mm3 e predominância de polimorfonucleares (mais de 60%) somada ao critério de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glicorraquia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acima tem alta especificidade e boa sensibilidade para o diagnóstico de meningite bacteriana</w:t>
      </w:r>
    </w:p>
    <w:p w14:paraId="24799772" w14:textId="77777777" w:rsidR="005459AE" w:rsidRPr="00DD3DBE" w:rsidRDefault="005459A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Proteínas: valores normais para maioria das crianças se situam na faixa de 20 a 40 mg%. Nas meningites em geral esse valor se eleva bastante. Infelizmente de maneira inespecífica, a resposta da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protéina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aos diferentes grupos de etiologia (bactérias, vírus,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micobactérias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, fungos) é geralmente </w:t>
      </w:r>
      <w:r w:rsidRPr="00DD3DBE">
        <w:rPr>
          <w:rFonts w:ascii="Arial" w:hAnsi="Arial" w:cs="Arial"/>
          <w:color w:val="auto"/>
          <w:sz w:val="20"/>
          <w:szCs w:val="20"/>
        </w:rPr>
        <w:lastRenderedPageBreak/>
        <w:t>semelhante.</w:t>
      </w:r>
    </w:p>
    <w:p w14:paraId="67B3B1AD" w14:textId="77777777" w:rsidR="005459AE" w:rsidRPr="00DD3DBE" w:rsidRDefault="005459A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proofErr w:type="spellStart"/>
      <w:r w:rsidRPr="00DD3DBE">
        <w:rPr>
          <w:rFonts w:ascii="Arial" w:hAnsi="Arial" w:cs="Arial"/>
          <w:b/>
          <w:color w:val="auto"/>
          <w:sz w:val="20"/>
          <w:szCs w:val="20"/>
        </w:rPr>
        <w:t>Bacterioscopia</w:t>
      </w:r>
      <w:proofErr w:type="spellEnd"/>
      <w:r w:rsidRPr="00DD3DBE">
        <w:rPr>
          <w:rFonts w:ascii="Arial" w:hAnsi="Arial" w:cs="Arial"/>
          <w:b/>
          <w:color w:val="auto"/>
          <w:sz w:val="20"/>
          <w:szCs w:val="20"/>
        </w:rPr>
        <w:t xml:space="preserve"> Clássica das Principais etiologias:</w:t>
      </w:r>
    </w:p>
    <w:p w14:paraId="73B41BB4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i/>
          <w:color w:val="auto"/>
          <w:sz w:val="20"/>
          <w:szCs w:val="20"/>
        </w:rPr>
        <w:t xml:space="preserve">       </w:t>
      </w:r>
      <w:proofErr w:type="spellStart"/>
      <w:r w:rsidR="005459AE" w:rsidRPr="00DD3DBE">
        <w:rPr>
          <w:rFonts w:ascii="Arial" w:hAnsi="Arial" w:cs="Arial"/>
          <w:i/>
          <w:color w:val="auto"/>
          <w:sz w:val="20"/>
          <w:szCs w:val="20"/>
        </w:rPr>
        <w:t>Haemophilus</w:t>
      </w:r>
      <w:proofErr w:type="spellEnd"/>
      <w:r w:rsidR="005459AE" w:rsidRPr="00DD3DBE">
        <w:rPr>
          <w:rFonts w:ascii="Arial" w:hAnsi="Arial" w:cs="Arial"/>
          <w:i/>
          <w:color w:val="auto"/>
          <w:sz w:val="20"/>
          <w:szCs w:val="20"/>
        </w:rPr>
        <w:t xml:space="preserve"> </w:t>
      </w:r>
      <w:proofErr w:type="spellStart"/>
      <w:r w:rsidR="005459AE" w:rsidRPr="00DD3DBE">
        <w:rPr>
          <w:rFonts w:ascii="Arial" w:hAnsi="Arial" w:cs="Arial"/>
          <w:i/>
          <w:color w:val="auto"/>
          <w:sz w:val="20"/>
          <w:szCs w:val="20"/>
        </w:rPr>
        <w:t>influenzae</w:t>
      </w:r>
      <w:proofErr w:type="spellEnd"/>
      <w:r w:rsidR="005459AE" w:rsidRPr="00DD3DBE">
        <w:rPr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5459AE" w:rsidRPr="00DD3DBE">
        <w:rPr>
          <w:rFonts w:ascii="Arial" w:hAnsi="Arial" w:cs="Arial"/>
          <w:color w:val="auto"/>
          <w:sz w:val="20"/>
          <w:szCs w:val="20"/>
        </w:rPr>
        <w:t>b  (</w:t>
      </w:r>
      <w:proofErr w:type="spellStart"/>
      <w:proofErr w:type="gramEnd"/>
      <w:r w:rsidR="005459AE" w:rsidRPr="00DD3DBE">
        <w:rPr>
          <w:rFonts w:ascii="Arial" w:hAnsi="Arial" w:cs="Arial"/>
          <w:color w:val="auto"/>
          <w:sz w:val="20"/>
          <w:szCs w:val="20"/>
        </w:rPr>
        <w:t>Hib</w:t>
      </w:r>
      <w:proofErr w:type="spellEnd"/>
      <w:r w:rsidR="005459AE" w:rsidRPr="00DD3DBE">
        <w:rPr>
          <w:rFonts w:ascii="Arial" w:hAnsi="Arial" w:cs="Arial"/>
          <w:color w:val="auto"/>
          <w:sz w:val="20"/>
          <w:szCs w:val="20"/>
        </w:rPr>
        <w:t xml:space="preserve">): coco-bacilos </w:t>
      </w:r>
      <w:proofErr w:type="spellStart"/>
      <w:r w:rsidR="005459AE" w:rsidRPr="00DD3DBE">
        <w:rPr>
          <w:rFonts w:ascii="Arial" w:hAnsi="Arial" w:cs="Arial"/>
          <w:color w:val="auto"/>
          <w:sz w:val="20"/>
          <w:szCs w:val="20"/>
        </w:rPr>
        <w:t>pleomórficos</w:t>
      </w:r>
      <w:proofErr w:type="spellEnd"/>
      <w:r w:rsidR="005459AE" w:rsidRPr="00DD3DBE">
        <w:rPr>
          <w:rFonts w:ascii="Arial" w:hAnsi="Arial" w:cs="Arial"/>
          <w:color w:val="auto"/>
          <w:sz w:val="20"/>
          <w:szCs w:val="20"/>
        </w:rPr>
        <w:t>, Gram negativos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F97AAC5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i/>
          <w:color w:val="auto"/>
          <w:sz w:val="20"/>
          <w:szCs w:val="20"/>
        </w:rPr>
        <w:t xml:space="preserve">       </w:t>
      </w:r>
      <w:r w:rsidR="005459AE" w:rsidRPr="00DD3DBE">
        <w:rPr>
          <w:rFonts w:ascii="Arial" w:hAnsi="Arial" w:cs="Arial"/>
          <w:i/>
          <w:color w:val="auto"/>
          <w:sz w:val="20"/>
          <w:szCs w:val="20"/>
        </w:rPr>
        <w:t xml:space="preserve">Neisseria </w:t>
      </w:r>
      <w:proofErr w:type="spellStart"/>
      <w:r w:rsidR="005459AE" w:rsidRPr="00DD3DBE">
        <w:rPr>
          <w:rFonts w:ascii="Arial" w:hAnsi="Arial" w:cs="Arial"/>
          <w:i/>
          <w:color w:val="auto"/>
          <w:sz w:val="20"/>
          <w:szCs w:val="20"/>
        </w:rPr>
        <w:t>meningitidis</w:t>
      </w:r>
      <w:proofErr w:type="spellEnd"/>
      <w:r w:rsidR="005459AE" w:rsidRPr="00DD3DBE">
        <w:rPr>
          <w:rFonts w:ascii="Arial" w:hAnsi="Arial" w:cs="Arial"/>
          <w:color w:val="auto"/>
          <w:sz w:val="20"/>
          <w:szCs w:val="20"/>
        </w:rPr>
        <w:t xml:space="preserve"> (meningococo): diplococos Gram negativos, intracelulares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87F3470" w14:textId="77777777" w:rsidR="005459A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i/>
          <w:color w:val="auto"/>
          <w:sz w:val="20"/>
          <w:szCs w:val="20"/>
        </w:rPr>
        <w:t xml:space="preserve">       </w:t>
      </w:r>
      <w:r w:rsidR="005459AE" w:rsidRPr="00DD3DBE">
        <w:rPr>
          <w:rFonts w:ascii="Arial" w:hAnsi="Arial" w:cs="Arial"/>
          <w:i/>
          <w:color w:val="auto"/>
          <w:sz w:val="20"/>
          <w:szCs w:val="20"/>
        </w:rPr>
        <w:t xml:space="preserve">Streptococcus </w:t>
      </w:r>
      <w:proofErr w:type="spellStart"/>
      <w:r w:rsidR="005459AE" w:rsidRPr="00DD3DBE">
        <w:rPr>
          <w:rFonts w:ascii="Arial" w:hAnsi="Arial" w:cs="Arial"/>
          <w:i/>
          <w:color w:val="auto"/>
          <w:sz w:val="20"/>
          <w:szCs w:val="20"/>
        </w:rPr>
        <w:t>pneumoniae</w:t>
      </w:r>
      <w:proofErr w:type="spellEnd"/>
      <w:r w:rsidR="005459AE" w:rsidRPr="00DD3DBE">
        <w:rPr>
          <w:rFonts w:ascii="Arial" w:hAnsi="Arial" w:cs="Arial"/>
          <w:color w:val="auto"/>
          <w:sz w:val="20"/>
          <w:szCs w:val="20"/>
        </w:rPr>
        <w:t xml:space="preserve"> (pneumococo): cocos Gram positivos isolados ou aos pares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230B839B" w14:textId="77777777" w:rsidR="00DD3DB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BC49FC3" w14:textId="77777777" w:rsidR="005459AE" w:rsidRDefault="00DD3DBE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</w:t>
      </w:r>
      <w:r w:rsidR="005459AE" w:rsidRPr="00DD3DBE">
        <w:rPr>
          <w:rFonts w:ascii="Arial" w:hAnsi="Arial" w:cs="Arial"/>
          <w:b/>
          <w:color w:val="auto"/>
          <w:sz w:val="20"/>
          <w:szCs w:val="20"/>
        </w:rPr>
        <w:t xml:space="preserve">Exames de identificação do agente etiológico no </w:t>
      </w:r>
      <w:proofErr w:type="spellStart"/>
      <w:r w:rsidR="005459AE" w:rsidRPr="00DD3DBE">
        <w:rPr>
          <w:rFonts w:ascii="Arial" w:hAnsi="Arial" w:cs="Arial"/>
          <w:b/>
          <w:color w:val="auto"/>
          <w:sz w:val="20"/>
          <w:szCs w:val="20"/>
        </w:rPr>
        <w:t>líqüor</w:t>
      </w:r>
      <w:proofErr w:type="spellEnd"/>
      <w:r>
        <w:rPr>
          <w:rFonts w:ascii="Arial" w:hAnsi="Arial" w:cs="Arial"/>
          <w:b/>
          <w:color w:val="auto"/>
          <w:sz w:val="20"/>
          <w:szCs w:val="20"/>
        </w:rPr>
        <w:t>:</w:t>
      </w:r>
    </w:p>
    <w:p w14:paraId="1131B623" w14:textId="77777777" w:rsidR="00DD3DB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B251C54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Cultura e antibiograma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19BCA486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Aglutinação em látex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750072A2" w14:textId="77777777" w:rsidR="005459A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</w:t>
      </w:r>
      <w:proofErr w:type="spellStart"/>
      <w:r w:rsidR="005459AE" w:rsidRPr="00DD3DBE">
        <w:rPr>
          <w:rFonts w:ascii="Arial" w:hAnsi="Arial" w:cs="Arial"/>
          <w:color w:val="auto"/>
          <w:sz w:val="20"/>
          <w:szCs w:val="20"/>
        </w:rPr>
        <w:t>Contraimunoeletroforese</w:t>
      </w:r>
      <w:proofErr w:type="spellEnd"/>
      <w:r>
        <w:rPr>
          <w:rFonts w:ascii="Arial" w:hAnsi="Arial" w:cs="Arial"/>
          <w:color w:val="auto"/>
          <w:sz w:val="20"/>
          <w:szCs w:val="20"/>
        </w:rPr>
        <w:t>.</w:t>
      </w:r>
    </w:p>
    <w:p w14:paraId="2D3A9568" w14:textId="77777777" w:rsidR="00DD3DBE" w:rsidRPr="00DD3DBE" w:rsidRDefault="00DD3DB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3B8287A1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     </w:t>
      </w:r>
      <w:r w:rsidR="005459AE" w:rsidRPr="00DD3DBE">
        <w:rPr>
          <w:rFonts w:ascii="Arial" w:hAnsi="Arial" w:cs="Arial"/>
          <w:b/>
          <w:color w:val="auto"/>
          <w:sz w:val="20"/>
          <w:szCs w:val="20"/>
        </w:rPr>
        <w:t>Hemocultura: obrigatória em toda suspeita de meningite</w:t>
      </w:r>
      <w:r w:rsidR="005459AE" w:rsidRPr="00DD3DBE">
        <w:rPr>
          <w:rFonts w:ascii="Arial" w:hAnsi="Arial" w:cs="Arial"/>
          <w:color w:val="auto"/>
          <w:sz w:val="20"/>
          <w:szCs w:val="20"/>
        </w:rPr>
        <w:t>. O ideal é obter 2 amostras.</w:t>
      </w:r>
    </w:p>
    <w:p w14:paraId="199A04F5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7E5DC7">
        <w:rPr>
          <w:rFonts w:ascii="Arial" w:hAnsi="Arial" w:cs="Arial"/>
          <w:color w:val="auto"/>
          <w:sz w:val="20"/>
          <w:szCs w:val="20"/>
        </w:rPr>
        <w:t xml:space="preserve">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Outros exames complementares importantes:</w:t>
      </w:r>
    </w:p>
    <w:p w14:paraId="44BCD9D6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</w:t>
      </w:r>
      <w:r w:rsidR="007E5DC7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Hemograma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1BFDAE60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7E5DC7">
        <w:rPr>
          <w:rFonts w:ascii="Arial" w:hAnsi="Arial" w:cs="Arial"/>
          <w:color w:val="auto"/>
          <w:sz w:val="20"/>
          <w:szCs w:val="20"/>
        </w:rPr>
        <w:t xml:space="preserve">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Glicemia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6E176539" w14:textId="77777777" w:rsidR="005459AE" w:rsidRPr="00DD3DBE" w:rsidRDefault="00DD3DBE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7E5DC7">
        <w:rPr>
          <w:rFonts w:ascii="Arial" w:hAnsi="Arial" w:cs="Arial"/>
          <w:color w:val="auto"/>
          <w:sz w:val="20"/>
          <w:szCs w:val="20"/>
        </w:rPr>
        <w:t xml:space="preserve"> </w:t>
      </w:r>
      <w:r w:rsidR="005459AE" w:rsidRPr="00DD3DBE">
        <w:rPr>
          <w:rFonts w:ascii="Arial" w:hAnsi="Arial" w:cs="Arial"/>
          <w:color w:val="auto"/>
          <w:sz w:val="20"/>
          <w:szCs w:val="20"/>
        </w:rPr>
        <w:t>Tomografia de crânio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14:paraId="12933F6F" w14:textId="77777777" w:rsidR="004B41DD" w:rsidRPr="00DD3DBE" w:rsidRDefault="004B41DD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5F54564" w14:textId="77777777" w:rsidR="00C3229F" w:rsidRDefault="00DD3DBE" w:rsidP="00DD3DBE">
      <w:pPr>
        <w:pStyle w:val="Default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DD3DBE">
        <w:rPr>
          <w:rFonts w:ascii="Arial" w:hAnsi="Arial" w:cs="Arial"/>
          <w:b/>
          <w:color w:val="auto"/>
        </w:rPr>
        <w:t>Tratamento</w:t>
      </w:r>
      <w:r>
        <w:rPr>
          <w:rFonts w:ascii="Arial" w:hAnsi="Arial" w:cs="Arial"/>
          <w:b/>
          <w:color w:val="auto"/>
        </w:rPr>
        <w:t>:</w:t>
      </w:r>
    </w:p>
    <w:p w14:paraId="1D73CC6C" w14:textId="77777777" w:rsidR="00DD3DBE" w:rsidRPr="00DD3DBE" w:rsidRDefault="00DD3DBE" w:rsidP="00DD3DBE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</w:rPr>
      </w:pPr>
    </w:p>
    <w:p w14:paraId="7E75FC75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D3DBE">
        <w:rPr>
          <w:rFonts w:ascii="Arial" w:hAnsi="Arial" w:cs="Arial"/>
          <w:b/>
          <w:color w:val="auto"/>
          <w:sz w:val="20"/>
          <w:szCs w:val="20"/>
        </w:rPr>
        <w:t>Dieta:</w:t>
      </w:r>
    </w:p>
    <w:p w14:paraId="0F6321AC" w14:textId="77777777" w:rsidR="00C3229F" w:rsidRPr="00DD3DBE" w:rsidRDefault="00C3229F" w:rsidP="00DD3DBE">
      <w:pPr>
        <w:pStyle w:val="Default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Dieta zero se o paciente estiver em coma ou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torporoso</w:t>
      </w:r>
      <w:proofErr w:type="spellEnd"/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690F7F0D" w14:textId="77777777" w:rsidR="00C3229F" w:rsidRPr="00DD3DBE" w:rsidRDefault="00C3229F" w:rsidP="00DD3DBE">
      <w:pPr>
        <w:pStyle w:val="Default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Iniciar com dieta branda quando o paciente acordar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1289FF13" w14:textId="77777777" w:rsidR="00C3229F" w:rsidRPr="00DD3DBE" w:rsidRDefault="00C3229F" w:rsidP="00DD3DBE">
      <w:pPr>
        <w:pStyle w:val="Default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Se o paciente persistir em coma por mais de 48 horas, aumentar o total de calorias na hidratação venosa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530B3E37" w14:textId="77777777" w:rsidR="00C3229F" w:rsidRPr="00DD3DBE" w:rsidRDefault="00C3229F" w:rsidP="00DD3DBE">
      <w:pPr>
        <w:pStyle w:val="Default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Se o paciente permanecer em coma por mais de 4 dias, considerar a possibilidade de nutrição parenteral total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715E944D" w14:textId="77777777" w:rsidR="00C3229F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D3DBE">
        <w:rPr>
          <w:rFonts w:ascii="Arial" w:hAnsi="Arial" w:cs="Arial"/>
          <w:b/>
          <w:color w:val="auto"/>
          <w:sz w:val="20"/>
          <w:szCs w:val="20"/>
        </w:rPr>
        <w:t>Hidratação venosa sem restrição hídrica na maioria dos casos</w:t>
      </w:r>
      <w:r w:rsidR="00DD3DBE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546C4362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Bloqueio dos mecanismos de dano celular –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Corticoterapia</w:t>
      </w:r>
      <w:proofErr w:type="spellEnd"/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5861F8B7" w14:textId="77777777" w:rsidR="00C3229F" w:rsidRPr="00DD3DBE" w:rsidRDefault="00C3229F" w:rsidP="00DD3DBE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Indicada para todas as etiologias e todas as idades além do período neonatal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418F76D2" w14:textId="77777777" w:rsidR="00C3229F" w:rsidRPr="00DD3DBE" w:rsidRDefault="00C3229F" w:rsidP="00DD3DBE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Iniciar pelo menos 30 minutos antes da primeira dose de antimicrobianos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37CE372C" w14:textId="77777777" w:rsidR="00C3229F" w:rsidRPr="00DD3DBE" w:rsidRDefault="00C3229F" w:rsidP="00DD3DBE">
      <w:pPr>
        <w:pStyle w:val="Default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Fazer por 2 dias, dexametasona 0,15mg/kg/dose com intervalos de 6 horas, máximo de 40 mg/dia</w:t>
      </w:r>
      <w:r w:rsidR="00DD3DBE">
        <w:rPr>
          <w:rFonts w:ascii="Arial" w:hAnsi="Arial" w:cs="Arial"/>
          <w:color w:val="auto"/>
          <w:sz w:val="20"/>
          <w:szCs w:val="20"/>
        </w:rPr>
        <w:t>.</w:t>
      </w:r>
    </w:p>
    <w:p w14:paraId="7D276780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DD3DBE">
        <w:rPr>
          <w:rFonts w:ascii="Arial" w:hAnsi="Arial" w:cs="Arial"/>
          <w:b/>
          <w:color w:val="auto"/>
          <w:sz w:val="20"/>
          <w:szCs w:val="20"/>
        </w:rPr>
        <w:t>Controle da hipertensão intracraniana</w:t>
      </w:r>
      <w:r w:rsidR="00DD3DBE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6BBA9581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Cabeceira elevada a 30</w:t>
      </w:r>
      <w:r w:rsidR="00DD3DBE">
        <w:rPr>
          <w:rFonts w:ascii="Arial" w:hAnsi="Arial" w:cs="Arial"/>
          <w:color w:val="auto"/>
          <w:sz w:val="20"/>
          <w:szCs w:val="20"/>
        </w:rPr>
        <w:t>º;</w:t>
      </w:r>
      <w:r w:rsidRPr="00DD3DBE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0066761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Manitol a 20%, de 1 a 2 g/Kg (5 a 10ml/Kg) em infusão rápida (30 min), máximo de 40g./infusão (200 ml)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40B8D545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Reavaliar imediatamente após a infusão, 1 hora depois, e a cada 4 a 6 horas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0DDA9A9A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Atentar para possibilidade de retenção vesical em pacientes em coma após infusão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1669B3F4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Se houver desidratação após infusão de solução de manitol, hidratar a </w:t>
      </w:r>
      <w:proofErr w:type="gramStart"/>
      <w:r w:rsidRPr="00DD3DBE">
        <w:rPr>
          <w:rFonts w:ascii="Arial" w:hAnsi="Arial" w:cs="Arial"/>
          <w:color w:val="auto"/>
          <w:sz w:val="20"/>
          <w:szCs w:val="20"/>
        </w:rPr>
        <w:t>criança,  com</w:t>
      </w:r>
      <w:proofErr w:type="gramEnd"/>
      <w:r w:rsidRPr="00DD3DBE">
        <w:rPr>
          <w:rFonts w:ascii="Arial" w:hAnsi="Arial" w:cs="Arial"/>
          <w:color w:val="auto"/>
          <w:sz w:val="20"/>
          <w:szCs w:val="20"/>
        </w:rPr>
        <w:t xml:space="preserve"> solução fisiológica pura, 20 ml/Kg, em 3 a 4 horas, podendo ser repetida se persistir a desidratação</w:t>
      </w:r>
      <w:r w:rsidR="00DD3DBE">
        <w:rPr>
          <w:rFonts w:ascii="Arial" w:hAnsi="Arial" w:cs="Arial"/>
          <w:color w:val="auto"/>
          <w:sz w:val="20"/>
          <w:szCs w:val="20"/>
        </w:rPr>
        <w:t>;</w:t>
      </w:r>
    </w:p>
    <w:p w14:paraId="70295F58" w14:textId="77777777" w:rsidR="00C3229F" w:rsidRPr="00DD3DBE" w:rsidRDefault="00C3229F" w:rsidP="00DD3DBE">
      <w:pPr>
        <w:pStyle w:val="Default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Se a avaliação clínica sugerir persistência ou agravamento do quadro de hipertensão intracraniana, novas infusões deverão ser realizadas após 6 horas (ou 4 horas em casos graves, se houver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bradipnéia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>, bradicardia, ou necessidade de ventilação artificial)</w:t>
      </w:r>
      <w:r w:rsidR="00760217">
        <w:rPr>
          <w:rFonts w:ascii="Arial" w:hAnsi="Arial" w:cs="Arial"/>
          <w:color w:val="auto"/>
          <w:sz w:val="20"/>
          <w:szCs w:val="20"/>
        </w:rPr>
        <w:t>.</w:t>
      </w:r>
    </w:p>
    <w:p w14:paraId="7E3BACA6" w14:textId="77777777" w:rsidR="00C3229F" w:rsidRPr="00760217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60217">
        <w:rPr>
          <w:rFonts w:ascii="Arial" w:hAnsi="Arial" w:cs="Arial"/>
          <w:b/>
          <w:color w:val="auto"/>
          <w:sz w:val="20"/>
          <w:szCs w:val="20"/>
        </w:rPr>
        <w:t>Antibioticoterapia empíri</w:t>
      </w:r>
      <w:r w:rsidR="004B41DD" w:rsidRPr="00760217">
        <w:rPr>
          <w:rFonts w:ascii="Arial" w:hAnsi="Arial" w:cs="Arial"/>
          <w:b/>
          <w:color w:val="auto"/>
          <w:sz w:val="20"/>
          <w:szCs w:val="20"/>
        </w:rPr>
        <w:t>ca inicial</w:t>
      </w:r>
      <w:r w:rsidR="00760217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525B5BE8" w14:textId="77777777" w:rsidR="00C3229F" w:rsidRPr="00DD3DBE" w:rsidRDefault="00C3229F" w:rsidP="00DD3DBE">
      <w:pPr>
        <w:pStyle w:val="Default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1a escolha</w:t>
      </w:r>
      <w:r w:rsidR="00760217">
        <w:rPr>
          <w:rFonts w:ascii="Arial" w:hAnsi="Arial" w:cs="Arial"/>
          <w:color w:val="auto"/>
          <w:sz w:val="20"/>
          <w:szCs w:val="20"/>
        </w:rPr>
        <w:t>:</w:t>
      </w:r>
    </w:p>
    <w:p w14:paraId="15E1BA03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proofErr w:type="spellStart"/>
      <w:r w:rsidR="00C3229F" w:rsidRPr="00DD3DBE">
        <w:rPr>
          <w:rFonts w:ascii="Arial" w:hAnsi="Arial" w:cs="Arial"/>
          <w:color w:val="auto"/>
          <w:sz w:val="20"/>
          <w:szCs w:val="20"/>
        </w:rPr>
        <w:t>Cefotaxima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300 mg/Kg/dia EV divididos em 4 doses de 6/6 horas (máximo 8 g./dia)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FA9B9B1" w14:textId="77777777" w:rsidR="00C3229F" w:rsidRPr="00DD3DBE" w:rsidRDefault="00C3229F" w:rsidP="00DD3DBE">
      <w:pPr>
        <w:pStyle w:val="Default"/>
        <w:spacing w:line="276" w:lineRule="auto"/>
        <w:ind w:hanging="196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ab/>
      </w:r>
      <w:r w:rsidRPr="00DD3DBE">
        <w:rPr>
          <w:rFonts w:ascii="Arial" w:hAnsi="Arial" w:cs="Arial"/>
          <w:color w:val="auto"/>
          <w:sz w:val="20"/>
          <w:szCs w:val="20"/>
        </w:rPr>
        <w:tab/>
      </w:r>
      <w:r w:rsidRPr="00DD3DBE">
        <w:rPr>
          <w:rFonts w:ascii="Arial" w:hAnsi="Arial" w:cs="Arial"/>
          <w:color w:val="auto"/>
          <w:sz w:val="20"/>
          <w:szCs w:val="20"/>
        </w:rPr>
        <w:tab/>
      </w:r>
      <w:r w:rsidRPr="00DD3DBE">
        <w:rPr>
          <w:rFonts w:ascii="Arial" w:hAnsi="Arial" w:cs="Arial"/>
          <w:color w:val="auto"/>
          <w:sz w:val="20"/>
          <w:szCs w:val="20"/>
        </w:rPr>
        <w:tab/>
        <w:t>Ou</w:t>
      </w:r>
    </w:p>
    <w:p w14:paraId="7D458268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proofErr w:type="spellStart"/>
      <w:r w:rsidR="00C3229F" w:rsidRPr="00DD3DBE">
        <w:rPr>
          <w:rFonts w:ascii="Arial" w:hAnsi="Arial" w:cs="Arial"/>
          <w:color w:val="auto"/>
          <w:sz w:val="20"/>
          <w:szCs w:val="20"/>
        </w:rPr>
        <w:t>Ceftriaxona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100 mg/Kg/dia EV em dose única diária (máximo 2 g./dia em crianças</w:t>
      </w:r>
      <w:r>
        <w:rPr>
          <w:rFonts w:ascii="Arial" w:hAnsi="Arial" w:cs="Arial"/>
          <w:color w:val="auto"/>
          <w:sz w:val="20"/>
          <w:szCs w:val="20"/>
        </w:rPr>
        <w:t>.</w:t>
      </w:r>
      <w:r w:rsidR="00C3229F" w:rsidRPr="00DD3DBE">
        <w:rPr>
          <w:rFonts w:ascii="Arial" w:hAnsi="Arial" w:cs="Arial"/>
          <w:color w:val="auto"/>
          <w:sz w:val="20"/>
          <w:szCs w:val="20"/>
        </w:rPr>
        <w:t>)</w:t>
      </w:r>
    </w:p>
    <w:p w14:paraId="6EA8B814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9AAD179" w14:textId="77777777" w:rsidR="00C3229F" w:rsidRPr="00DD3DBE" w:rsidRDefault="00C3229F" w:rsidP="00DD3DBE">
      <w:pPr>
        <w:pStyle w:val="Default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2a escolha</w:t>
      </w:r>
      <w:r w:rsidR="00760217">
        <w:rPr>
          <w:rFonts w:ascii="Arial" w:hAnsi="Arial" w:cs="Arial"/>
          <w:color w:val="auto"/>
          <w:sz w:val="20"/>
          <w:szCs w:val="20"/>
        </w:rPr>
        <w:t>:</w:t>
      </w:r>
    </w:p>
    <w:p w14:paraId="0932F2B1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Ampicilina 300 mg/Kg/dia EV divididos em 6 doses de 4/4 horas (máximo 2 g./dia)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2951AB7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Em associação com</w:t>
      </w:r>
    </w:p>
    <w:p w14:paraId="2D2E8A9D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Cloranfenicol 100 mg/Kg/dia EV divididos em 4 doses de 6/6 horas</w:t>
      </w:r>
      <w:r>
        <w:rPr>
          <w:rFonts w:ascii="Arial" w:hAnsi="Arial" w:cs="Arial"/>
          <w:color w:val="auto"/>
          <w:sz w:val="20"/>
          <w:szCs w:val="20"/>
        </w:rPr>
        <w:t>.</w:t>
      </w:r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6D888259" w14:textId="77777777" w:rsidR="00760217" w:rsidRDefault="00760217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28FD94F5" w14:textId="77777777" w:rsidR="00C3229F" w:rsidRPr="00760217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60217">
        <w:rPr>
          <w:rFonts w:ascii="Arial" w:hAnsi="Arial" w:cs="Arial"/>
          <w:b/>
          <w:color w:val="auto"/>
          <w:sz w:val="20"/>
          <w:szCs w:val="20"/>
        </w:rPr>
        <w:t>Controle das convulsões:</w:t>
      </w:r>
    </w:p>
    <w:p w14:paraId="234841F7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lastRenderedPageBreak/>
        <w:t xml:space="preserve">    </w:t>
      </w:r>
      <w:r w:rsidR="00B74044">
        <w:rPr>
          <w:rFonts w:ascii="Arial" w:hAnsi="Arial" w:cs="Arial"/>
          <w:color w:val="auto"/>
          <w:sz w:val="20"/>
          <w:szCs w:val="20"/>
        </w:rPr>
        <w:t xml:space="preserve">  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Iniciar com </w:t>
      </w:r>
      <w:proofErr w:type="spellStart"/>
      <w:r w:rsidR="00171B60" w:rsidRPr="00DD3DBE">
        <w:rPr>
          <w:rFonts w:ascii="Arial" w:hAnsi="Arial" w:cs="Arial"/>
          <w:color w:val="auto"/>
          <w:sz w:val="20"/>
          <w:szCs w:val="20"/>
        </w:rPr>
        <w:t>m</w:t>
      </w:r>
      <w:r w:rsidR="00C3229F" w:rsidRPr="00DD3DBE">
        <w:rPr>
          <w:rFonts w:ascii="Arial" w:hAnsi="Arial" w:cs="Arial"/>
          <w:color w:val="auto"/>
          <w:sz w:val="20"/>
          <w:szCs w:val="20"/>
        </w:rPr>
        <w:t>idazolam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fazendo inicialmente uma dose de ataque, que se for eficaz, deve ser seguida </w:t>
      </w: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de infusão contínua até 24 horas após cessadas as convulsões</w:t>
      </w:r>
      <w:r w:rsidR="00B74044">
        <w:rPr>
          <w:rFonts w:ascii="Arial" w:hAnsi="Arial" w:cs="Arial"/>
          <w:color w:val="auto"/>
          <w:sz w:val="20"/>
          <w:szCs w:val="20"/>
        </w:rPr>
        <w:t>;</w:t>
      </w:r>
    </w:p>
    <w:p w14:paraId="261754BC" w14:textId="77777777" w:rsidR="00171B60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B74044">
        <w:rPr>
          <w:rFonts w:ascii="Arial" w:hAnsi="Arial" w:cs="Arial"/>
          <w:color w:val="auto"/>
          <w:sz w:val="20"/>
          <w:szCs w:val="20"/>
        </w:rPr>
        <w:t xml:space="preserve">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Dose de ataque: diluir 10mg (2ml) em 18 ml de solução de glicose a 5%</w:t>
      </w:r>
      <w:r w:rsidR="00171B60" w:rsidRPr="00DD3DBE">
        <w:rPr>
          <w:rFonts w:ascii="Arial" w:hAnsi="Arial" w:cs="Arial"/>
          <w:color w:val="auto"/>
          <w:sz w:val="20"/>
          <w:szCs w:val="20"/>
        </w:rPr>
        <w:t xml:space="preserve">.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Fazer 0,3ml/Kg da solução resultante (equivalente a 0,15mg/kg)</w:t>
      </w:r>
      <w:r w:rsidR="00B74044">
        <w:rPr>
          <w:rFonts w:ascii="Arial" w:hAnsi="Arial" w:cs="Arial"/>
          <w:color w:val="auto"/>
          <w:sz w:val="20"/>
          <w:szCs w:val="20"/>
        </w:rPr>
        <w:t>;</w:t>
      </w:r>
    </w:p>
    <w:p w14:paraId="681A6605" w14:textId="77777777" w:rsidR="00C3229F" w:rsidRPr="00DD3DBE" w:rsidRDefault="00760217" w:rsidP="0076021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</w:t>
      </w:r>
      <w:r w:rsidR="00B74044">
        <w:rPr>
          <w:rFonts w:ascii="Arial" w:hAnsi="Arial" w:cs="Arial"/>
          <w:color w:val="auto"/>
          <w:sz w:val="20"/>
          <w:szCs w:val="20"/>
        </w:rPr>
        <w:t xml:space="preserve">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Infusão contínua: diluir 15 mg (3ml) em 250 ml de solução de glicose a 5%</w:t>
      </w:r>
      <w:r w:rsidR="00171B60" w:rsidRPr="00DD3DBE">
        <w:rPr>
          <w:rFonts w:ascii="Arial" w:hAnsi="Arial" w:cs="Arial"/>
          <w:color w:val="auto"/>
          <w:sz w:val="20"/>
          <w:szCs w:val="20"/>
        </w:rPr>
        <w:t xml:space="preserve">.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Correr iniciando com 1ml/kg/hora (1ml/kg/hora = 1 microg./kg/min)</w:t>
      </w:r>
      <w:r w:rsidR="00B74044">
        <w:rPr>
          <w:rFonts w:ascii="Arial" w:hAnsi="Arial" w:cs="Arial"/>
          <w:color w:val="auto"/>
          <w:sz w:val="20"/>
          <w:szCs w:val="20"/>
        </w:rPr>
        <w:t>.</w:t>
      </w:r>
    </w:p>
    <w:p w14:paraId="57C8B0B8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49307A0E" w14:textId="77777777" w:rsidR="00C3229F" w:rsidRPr="00DD3DBE" w:rsidRDefault="00C3229F" w:rsidP="00B7404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Se a dose de ataque não foi eficaz, poderá ser repetida até 3 vezes, em intervalos de 15 minutos, seguindo então a infusão contínua.</w:t>
      </w:r>
    </w:p>
    <w:p w14:paraId="63C7448C" w14:textId="77777777" w:rsidR="00C3229F" w:rsidRPr="00DD3DBE" w:rsidRDefault="00C3229F" w:rsidP="00B7404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Caso as convulsões parem com a(s) dose(s) de ataque, mas o paciente volte a convulsionar durante a infusão contínua, a velocidade de infusão poderá ser aumentada para 2ml/kg/hora chegando até 3ml/kg/hora.</w:t>
      </w:r>
    </w:p>
    <w:p w14:paraId="6E9DAA6A" w14:textId="77777777" w:rsidR="00C3229F" w:rsidRPr="00DD3DBE" w:rsidRDefault="00C3229F" w:rsidP="00B7404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Pode-se considerar também repetir a dose de ataque, interrompendo-se temporariamente a infusão contínua.</w:t>
      </w:r>
    </w:p>
    <w:p w14:paraId="319F9281" w14:textId="77777777" w:rsidR="00C3229F" w:rsidRPr="00DD3DBE" w:rsidRDefault="00C3229F" w:rsidP="00B7404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Casos de difícil controle podem necessitar de outros anticonvulsionantes, embora haja pouca experiência em relação à interação de várias drogas para controle da crise.</w:t>
      </w:r>
    </w:p>
    <w:p w14:paraId="51C42B37" w14:textId="77777777" w:rsidR="00C3229F" w:rsidRPr="00DD3DBE" w:rsidRDefault="00C3229F" w:rsidP="00B74044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Devem ser evitados o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diazepam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e/ou fenobarbital por apresentarem tendência à depressão respiratória, o que em pacientes com hipertensão intracraniana pode mais facilmente levar à necessidade de ventilação mecânica.</w:t>
      </w:r>
    </w:p>
    <w:p w14:paraId="6DBABA57" w14:textId="77777777" w:rsidR="007E5DC7" w:rsidRDefault="007E5DC7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</w:p>
    <w:p w14:paraId="2F8B81E2" w14:textId="77777777" w:rsidR="00C3229F" w:rsidRPr="007E5DC7" w:rsidRDefault="00171B60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E5DC7">
        <w:rPr>
          <w:rFonts w:ascii="Arial" w:hAnsi="Arial" w:cs="Arial"/>
          <w:b/>
          <w:color w:val="auto"/>
          <w:sz w:val="20"/>
          <w:szCs w:val="20"/>
        </w:rPr>
        <w:t>Cuidados Anti-infecciosos:</w:t>
      </w:r>
    </w:p>
    <w:p w14:paraId="160292B2" w14:textId="77777777" w:rsidR="00C3229F" w:rsidRPr="00DD3DBE" w:rsidRDefault="00C3229F" w:rsidP="00DD3DBE">
      <w:pPr>
        <w:pStyle w:val="Default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Quarto privativo comum</w:t>
      </w:r>
      <w:r w:rsidR="007E5DC7">
        <w:rPr>
          <w:rFonts w:ascii="Arial" w:hAnsi="Arial" w:cs="Arial"/>
          <w:color w:val="auto"/>
          <w:sz w:val="20"/>
          <w:szCs w:val="20"/>
        </w:rPr>
        <w:t>,</w:t>
      </w:r>
    </w:p>
    <w:p w14:paraId="7BC27719" w14:textId="77777777" w:rsidR="00C3229F" w:rsidRPr="00DD3DBE" w:rsidRDefault="00C3229F" w:rsidP="00DD3DBE">
      <w:pPr>
        <w:pStyle w:val="Default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Uso de máscara cirúrgica comum:</w:t>
      </w:r>
    </w:p>
    <w:p w14:paraId="6E600260" w14:textId="77777777" w:rsidR="00C3229F" w:rsidRPr="00DD3DBE" w:rsidRDefault="00C3229F" w:rsidP="00DD3DBE">
      <w:pPr>
        <w:pStyle w:val="Default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Obrigatório para todos que forem lidar com o paciente nas primeiras 24 h. de tratamento</w:t>
      </w:r>
    </w:p>
    <w:p w14:paraId="7448064C" w14:textId="77777777" w:rsidR="00C3229F" w:rsidRPr="00DD3DBE" w:rsidRDefault="00C3229F" w:rsidP="00DD3DBE">
      <w:pPr>
        <w:pStyle w:val="Default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Para os familiares do doente, as máscaras devem ser mantidas até o resultado final da cultura ou até a 4a. dose da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quimioprofilaxia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nos casos confirmados ou altamente suspeitos de etiologia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meningocóccica</w:t>
      </w:r>
      <w:proofErr w:type="spellEnd"/>
    </w:p>
    <w:p w14:paraId="0A268155" w14:textId="77777777" w:rsidR="00C3229F" w:rsidRPr="00DD3DBE" w:rsidRDefault="00171B60" w:rsidP="00DD3DBE">
      <w:pPr>
        <w:pStyle w:val="Default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A</w:t>
      </w:r>
      <w:r w:rsidR="00C3229F" w:rsidRPr="00DD3DBE">
        <w:rPr>
          <w:rFonts w:ascii="Arial" w:hAnsi="Arial" w:cs="Arial"/>
          <w:color w:val="auto"/>
          <w:sz w:val="20"/>
          <w:szCs w:val="20"/>
        </w:rPr>
        <w:t>o fazer a história ou nos momentos da internação, não deixem de colocar máscaras nos pais pois eles podem ser os portadores sãos, principais veículos da doença.</w:t>
      </w:r>
    </w:p>
    <w:p w14:paraId="023C46C4" w14:textId="77777777" w:rsidR="00C3229F" w:rsidRPr="00DD3DBE" w:rsidRDefault="00C3229F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D73791C" w14:textId="77777777" w:rsidR="00C3229F" w:rsidRPr="007E5DC7" w:rsidRDefault="00C3229F" w:rsidP="00DD3DBE">
      <w:pPr>
        <w:pStyle w:val="Default"/>
        <w:spacing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proofErr w:type="spellStart"/>
      <w:r w:rsidRPr="007E5DC7">
        <w:rPr>
          <w:rFonts w:ascii="Arial" w:hAnsi="Arial" w:cs="Arial"/>
          <w:b/>
          <w:color w:val="auto"/>
          <w:sz w:val="20"/>
          <w:szCs w:val="20"/>
        </w:rPr>
        <w:t>Quimioprofilaxia</w:t>
      </w:r>
      <w:proofErr w:type="spellEnd"/>
      <w:r w:rsidR="00171B60" w:rsidRPr="007E5DC7">
        <w:rPr>
          <w:rFonts w:ascii="Arial" w:hAnsi="Arial" w:cs="Arial"/>
          <w:b/>
          <w:color w:val="auto"/>
          <w:sz w:val="20"/>
          <w:szCs w:val="20"/>
        </w:rPr>
        <w:t>:</w:t>
      </w:r>
    </w:p>
    <w:p w14:paraId="31FA11F3" w14:textId="77777777" w:rsidR="00C3229F" w:rsidRPr="00DD3DBE" w:rsidRDefault="00C3229F" w:rsidP="007E5DC7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Indicada nos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íntimos e prolongados se a meningite for de etiologia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meningocóccica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, ou por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b, desde que, no segundo caso, convivam na casa do doente crianças menores de 5 anos de idade</w:t>
      </w:r>
      <w:r w:rsidR="007E5DC7">
        <w:rPr>
          <w:rFonts w:ascii="Arial" w:hAnsi="Arial" w:cs="Arial"/>
          <w:color w:val="auto"/>
          <w:sz w:val="20"/>
          <w:szCs w:val="20"/>
        </w:rPr>
        <w:t>.</w:t>
      </w:r>
    </w:p>
    <w:p w14:paraId="618F5B89" w14:textId="77777777" w:rsidR="00C3229F" w:rsidRPr="007E5DC7" w:rsidRDefault="00C3229F" w:rsidP="007E5DC7">
      <w:pPr>
        <w:pStyle w:val="Default"/>
        <w:spacing w:line="276" w:lineRule="auto"/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7E5DC7">
        <w:rPr>
          <w:rFonts w:ascii="Arial" w:hAnsi="Arial" w:cs="Arial"/>
          <w:b/>
          <w:color w:val="auto"/>
          <w:sz w:val="20"/>
          <w:szCs w:val="20"/>
        </w:rPr>
        <w:t xml:space="preserve">São </w:t>
      </w:r>
      <w:proofErr w:type="spellStart"/>
      <w:r w:rsidRPr="007E5DC7">
        <w:rPr>
          <w:rFonts w:ascii="Arial" w:hAnsi="Arial" w:cs="Arial"/>
          <w:b/>
          <w:color w:val="auto"/>
          <w:sz w:val="20"/>
          <w:szCs w:val="20"/>
        </w:rPr>
        <w:t>contactantes</w:t>
      </w:r>
      <w:proofErr w:type="spellEnd"/>
      <w:r w:rsidRPr="007E5DC7">
        <w:rPr>
          <w:rFonts w:ascii="Arial" w:hAnsi="Arial" w:cs="Arial"/>
          <w:b/>
          <w:color w:val="auto"/>
          <w:sz w:val="20"/>
          <w:szCs w:val="20"/>
        </w:rPr>
        <w:t xml:space="preserve"> íntimos e prolongados:</w:t>
      </w:r>
    </w:p>
    <w:p w14:paraId="53B782D1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Todos que moram com o paciente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422262EB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Quem passou pelo menos 4 horas na mesma casa do doente nos últimos 7 dias antes da internação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3C39A6CA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Quem passou mais de 8 horas consecutivas pelo menos 1 vez nos últimos 7 dias antes da internação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AC06FEC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r w:rsidR="00C3229F" w:rsidRPr="00DD3DBE">
        <w:rPr>
          <w:rFonts w:ascii="Arial" w:hAnsi="Arial" w:cs="Arial"/>
          <w:color w:val="auto"/>
          <w:sz w:val="20"/>
          <w:szCs w:val="20"/>
        </w:rPr>
        <w:t>Quem trocou beijos na boca com o doente nos últimos 7 dias antes da internação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139270BA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proofErr w:type="spellStart"/>
      <w:r w:rsidR="00C3229F"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de creches, inclusive adultos em contato com o grupo afetado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73FB47B0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proofErr w:type="spellStart"/>
      <w:r w:rsidR="00C3229F"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de comunidades fechadas (internato, orfanato, alojamentos comuns)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09FA2D04" w14:textId="77777777" w:rsidR="00C3229F" w:rsidRPr="00DD3DBE" w:rsidRDefault="007E5DC7" w:rsidP="007E5DC7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      </w:t>
      </w:r>
      <w:proofErr w:type="spellStart"/>
      <w:r w:rsidR="00C3229F"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="00C3229F" w:rsidRPr="00DD3DBE">
        <w:rPr>
          <w:rFonts w:ascii="Arial" w:hAnsi="Arial" w:cs="Arial"/>
          <w:color w:val="auto"/>
          <w:sz w:val="20"/>
          <w:szCs w:val="20"/>
        </w:rPr>
        <w:t xml:space="preserve"> de sala de aula se 2 ou mais casos pelo mesmo sorogrupo ocorreram em menos de 6 meses</w:t>
      </w:r>
      <w:r>
        <w:rPr>
          <w:rFonts w:ascii="Arial" w:hAnsi="Arial" w:cs="Arial"/>
          <w:color w:val="auto"/>
          <w:sz w:val="20"/>
          <w:szCs w:val="20"/>
        </w:rPr>
        <w:t>;</w:t>
      </w:r>
    </w:p>
    <w:p w14:paraId="5D9DB284" w14:textId="77777777" w:rsidR="00C3229F" w:rsidRPr="00DD3DBE" w:rsidRDefault="00C3229F" w:rsidP="007E5DC7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>Deverá ser feita idealmente até o 10o dia do início do quadro clínico do doente</w:t>
      </w:r>
      <w:r w:rsidR="007E5DC7">
        <w:rPr>
          <w:rFonts w:ascii="Arial" w:hAnsi="Arial" w:cs="Arial"/>
          <w:color w:val="auto"/>
          <w:sz w:val="20"/>
          <w:szCs w:val="20"/>
        </w:rPr>
        <w:t>;</w:t>
      </w:r>
    </w:p>
    <w:p w14:paraId="05D65769" w14:textId="77777777" w:rsidR="00C3229F" w:rsidRPr="00DD3DBE" w:rsidRDefault="00C3229F" w:rsidP="007E5DC7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Esquema padrão = 4 doses de Rifampicina de 600mg para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adultos ou 4 doses de rifampicina de 10mg/kg para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contactantes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crianças maiores de 1 mês de idade e com menos de 60 kg. Para o meningococo, as doses devem ser administradas com intervalos de 12 horas (2 dias de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quimioprofilaxia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). Para o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Haemophilus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influenzae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b, as doses devem ser administradas com 24 horas de intervalo (4 dias de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quimioprofilaxia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>)</w:t>
      </w:r>
    </w:p>
    <w:p w14:paraId="0AE40860" w14:textId="77777777" w:rsidR="00C3229F" w:rsidRPr="00DD3DBE" w:rsidRDefault="00C3229F" w:rsidP="007E5DC7">
      <w:pPr>
        <w:pStyle w:val="Default"/>
        <w:spacing w:line="276" w:lineRule="auto"/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DD3DBE">
        <w:rPr>
          <w:rFonts w:ascii="Arial" w:hAnsi="Arial" w:cs="Arial"/>
          <w:color w:val="auto"/>
          <w:sz w:val="20"/>
          <w:szCs w:val="20"/>
        </w:rPr>
        <w:t xml:space="preserve">Gestantes deverão fazer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quimioprofilaxia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 xml:space="preserve"> com </w:t>
      </w:r>
      <w:proofErr w:type="spellStart"/>
      <w:r w:rsidRPr="00DD3DBE">
        <w:rPr>
          <w:rFonts w:ascii="Arial" w:hAnsi="Arial" w:cs="Arial"/>
          <w:color w:val="auto"/>
          <w:sz w:val="20"/>
          <w:szCs w:val="20"/>
        </w:rPr>
        <w:t>ceftriaxona</w:t>
      </w:r>
      <w:proofErr w:type="spellEnd"/>
      <w:r w:rsidRPr="00DD3DBE">
        <w:rPr>
          <w:rFonts w:ascii="Arial" w:hAnsi="Arial" w:cs="Arial"/>
          <w:color w:val="auto"/>
          <w:sz w:val="20"/>
          <w:szCs w:val="20"/>
        </w:rPr>
        <w:t>, dose única, de 250 mg, EV ou IM.</w:t>
      </w:r>
    </w:p>
    <w:p w14:paraId="69220B50" w14:textId="77777777" w:rsidR="004B41DD" w:rsidRPr="00DD3DBE" w:rsidRDefault="004B41DD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A18DDFE" w14:textId="77777777" w:rsidR="007E5DC7" w:rsidRDefault="007E5DC7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70942A0" w14:textId="77777777" w:rsidR="007E5DC7" w:rsidRDefault="007E5DC7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94DB671" w14:textId="77777777" w:rsidR="007E5DC7" w:rsidRDefault="007E5DC7" w:rsidP="00DD3DBE">
      <w:pPr>
        <w:pStyle w:val="Default"/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055CB704" w14:textId="77777777" w:rsidR="00DE7800" w:rsidRPr="007E5DC7" w:rsidRDefault="007E5DC7" w:rsidP="007E5DC7">
      <w:pPr>
        <w:pStyle w:val="Default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b/>
          <w:color w:val="auto"/>
        </w:rPr>
      </w:pPr>
      <w:r w:rsidRPr="007E5DC7">
        <w:rPr>
          <w:rFonts w:ascii="Arial" w:hAnsi="Arial" w:cs="Arial"/>
          <w:b/>
          <w:color w:val="auto"/>
        </w:rPr>
        <w:t>Referências:</w:t>
      </w:r>
    </w:p>
    <w:p w14:paraId="50E5BD23" w14:textId="77777777" w:rsidR="00854F47" w:rsidRPr="00DD3DBE" w:rsidRDefault="00854F47" w:rsidP="00DD3DBE">
      <w:pPr>
        <w:numPr>
          <w:ilvl w:val="0"/>
          <w:numId w:val="13"/>
        </w:numPr>
        <w:spacing w:before="160" w:after="160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lastRenderedPageBreak/>
        <w:t>Deivanayagam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N, Ashok TP,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Nedunchelian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K, Ahamed SS, Mala N. Evaluation of CSF variables as a diagnostic test for bacterial meningitis. </w:t>
      </w:r>
      <w:r w:rsidRPr="00DD3DBE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DD3DBE">
        <w:rPr>
          <w:rFonts w:ascii="Arial" w:hAnsi="Arial" w:cs="Arial"/>
          <w:sz w:val="20"/>
          <w:szCs w:val="20"/>
        </w:rPr>
        <w:t>Trop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3DBE">
        <w:rPr>
          <w:rFonts w:ascii="Arial" w:hAnsi="Arial" w:cs="Arial"/>
          <w:sz w:val="20"/>
          <w:szCs w:val="20"/>
        </w:rPr>
        <w:t>Pediatr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. </w:t>
      </w:r>
      <w:r w:rsidRPr="00DD3DBE">
        <w:rPr>
          <w:rFonts w:ascii="Arial" w:hAnsi="Arial" w:cs="Arial"/>
          <w:sz w:val="20"/>
          <w:szCs w:val="20"/>
          <w:lang w:val="en-US"/>
        </w:rPr>
        <w:t>1993 Oct; 39(5): 284-7.</w:t>
      </w:r>
    </w:p>
    <w:p w14:paraId="1895D9C2" w14:textId="77777777" w:rsidR="00854F47" w:rsidRPr="00DD3DBE" w:rsidRDefault="00854F47" w:rsidP="00DD3DBE">
      <w:pPr>
        <w:numPr>
          <w:ilvl w:val="0"/>
          <w:numId w:val="13"/>
        </w:numPr>
        <w:spacing w:before="160" w:after="160"/>
        <w:ind w:left="714" w:hanging="357"/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  <w:lang w:val="en-US"/>
        </w:rPr>
        <w:t>Kim KS. Acute bacterial meningitis in infants and children. Lancet Infect Dis 2010; 10: 32–42.</w:t>
      </w:r>
    </w:p>
    <w:p w14:paraId="47CFAC7C" w14:textId="77777777" w:rsidR="00854F47" w:rsidRPr="00DD3DBE" w:rsidRDefault="00854F47" w:rsidP="00DD3DBE">
      <w:pPr>
        <w:numPr>
          <w:ilvl w:val="0"/>
          <w:numId w:val="13"/>
        </w:numPr>
        <w:spacing w:before="160" w:after="160"/>
        <w:ind w:left="714" w:hanging="357"/>
        <w:jc w:val="both"/>
        <w:rPr>
          <w:rFonts w:ascii="Arial" w:hAnsi="Arial" w:cs="Arial"/>
          <w:sz w:val="20"/>
          <w:szCs w:val="20"/>
        </w:rPr>
      </w:pPr>
      <w:r w:rsidRPr="00DD3DBE">
        <w:rPr>
          <w:rFonts w:ascii="Arial" w:hAnsi="Arial" w:cs="Arial"/>
          <w:sz w:val="20"/>
          <w:szCs w:val="20"/>
        </w:rPr>
        <w:t xml:space="preserve">Vieira AC, Gomes MC, Rolo Filho M, Eudes Filho J, </w:t>
      </w:r>
      <w:proofErr w:type="spellStart"/>
      <w:r w:rsidRPr="00DD3DBE">
        <w:rPr>
          <w:rFonts w:ascii="Arial" w:hAnsi="Arial" w:cs="Arial"/>
          <w:sz w:val="20"/>
          <w:szCs w:val="20"/>
        </w:rPr>
        <w:t>Bello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 EJ, Figueiredo, RB. Streptococcus </w:t>
      </w:r>
      <w:proofErr w:type="spellStart"/>
      <w:r w:rsidRPr="00DD3DBE">
        <w:rPr>
          <w:rFonts w:ascii="Arial" w:hAnsi="Arial" w:cs="Arial"/>
          <w:sz w:val="20"/>
          <w:szCs w:val="20"/>
        </w:rPr>
        <w:t>pneumoniae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: estudo de cepas isoladas de </w:t>
      </w:r>
      <w:proofErr w:type="spellStart"/>
      <w:r w:rsidRPr="00DD3DBE">
        <w:rPr>
          <w:rFonts w:ascii="Arial" w:hAnsi="Arial" w:cs="Arial"/>
          <w:sz w:val="20"/>
          <w:szCs w:val="20"/>
        </w:rPr>
        <w:t>líquor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. J </w:t>
      </w:r>
      <w:proofErr w:type="spellStart"/>
      <w:r w:rsidRPr="00DD3DBE">
        <w:rPr>
          <w:rFonts w:ascii="Arial" w:hAnsi="Arial" w:cs="Arial"/>
          <w:sz w:val="20"/>
          <w:szCs w:val="20"/>
        </w:rPr>
        <w:t>Pediatr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 (Rio J) 2007;83(1):71-8.</w:t>
      </w:r>
    </w:p>
    <w:p w14:paraId="0518F60E" w14:textId="77777777" w:rsidR="00854F47" w:rsidRPr="00DD3DBE" w:rsidRDefault="00854F47" w:rsidP="00DD3DBE">
      <w:pPr>
        <w:numPr>
          <w:ilvl w:val="0"/>
          <w:numId w:val="13"/>
        </w:numPr>
        <w:spacing w:before="160" w:after="160"/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</w:rPr>
        <w:t xml:space="preserve">Neves FPG, Cardoso NT, Snyder RE, </w:t>
      </w:r>
      <w:proofErr w:type="spellStart"/>
      <w:r w:rsidRPr="00DD3DBE">
        <w:rPr>
          <w:rFonts w:ascii="Arial" w:hAnsi="Arial" w:cs="Arial"/>
          <w:sz w:val="20"/>
          <w:szCs w:val="20"/>
        </w:rPr>
        <w:t>Marlow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 MA, Cardoso CAA, Teixeira LM, et al. </w:t>
      </w:r>
      <w:r w:rsidRPr="00DD3DBE">
        <w:rPr>
          <w:rFonts w:ascii="Arial" w:hAnsi="Arial" w:cs="Arial"/>
          <w:sz w:val="20"/>
          <w:szCs w:val="20"/>
          <w:lang w:val="en-US"/>
        </w:rPr>
        <w:t>Pneumococcal carriage among children after four years of routine 10-valent pneumococcal conjugate vaccine use in Brazil: The emergence of multidrug resistant serotype 6C. Vaccine. 2017;35(21):2794-800.</w:t>
      </w:r>
    </w:p>
    <w:p w14:paraId="29A424DE" w14:textId="77777777" w:rsidR="00854F47" w:rsidRPr="00DD3DBE" w:rsidRDefault="00854F47" w:rsidP="00DD3DBE">
      <w:pPr>
        <w:numPr>
          <w:ilvl w:val="0"/>
          <w:numId w:val="13"/>
        </w:numPr>
        <w:spacing w:before="160" w:after="160"/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</w:rPr>
        <w:t xml:space="preserve">Cardoso NT, Santos BA, Barbosa AV, </w:t>
      </w:r>
      <w:proofErr w:type="spellStart"/>
      <w:r w:rsidRPr="00DD3DBE">
        <w:rPr>
          <w:rFonts w:ascii="Arial" w:hAnsi="Arial" w:cs="Arial"/>
          <w:sz w:val="20"/>
          <w:szCs w:val="20"/>
        </w:rPr>
        <w:t>Superti</w:t>
      </w:r>
      <w:proofErr w:type="spellEnd"/>
      <w:r w:rsidRPr="00DD3DBE">
        <w:rPr>
          <w:rFonts w:ascii="Arial" w:hAnsi="Arial" w:cs="Arial"/>
          <w:sz w:val="20"/>
          <w:szCs w:val="20"/>
        </w:rPr>
        <w:t xml:space="preserve"> SV, Teixeira LM, Neves FP. </w:t>
      </w:r>
      <w:r w:rsidRPr="00DD3DBE">
        <w:rPr>
          <w:rFonts w:ascii="Arial" w:hAnsi="Arial" w:cs="Arial"/>
          <w:sz w:val="20"/>
          <w:szCs w:val="20"/>
          <w:lang w:val="en-US"/>
        </w:rPr>
        <w:t>Serotypes, antimicrobial resistance and genotypes of Streptococcus pneumoniae associated with infections in cancer patients in Brazil. Diagn Microbiol Infect Dis. 2017;87(3):281-5.</w:t>
      </w:r>
    </w:p>
    <w:p w14:paraId="192731D1" w14:textId="77777777" w:rsidR="00B17D86" w:rsidRPr="00DD3DBE" w:rsidRDefault="00854F47" w:rsidP="00DD3DBE">
      <w:pPr>
        <w:numPr>
          <w:ilvl w:val="0"/>
          <w:numId w:val="13"/>
        </w:numPr>
        <w:spacing w:before="160" w:after="160"/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</w:rPr>
        <w:t xml:space="preserve">dos Santos MS, Azevedo J, Menezes AP, Cordeiro SM, Escobar EC, Lima JB, et al. </w:t>
      </w:r>
      <w:r w:rsidRPr="00DD3DBE">
        <w:rPr>
          <w:rFonts w:ascii="Arial" w:hAnsi="Arial" w:cs="Arial"/>
          <w:sz w:val="20"/>
          <w:szCs w:val="20"/>
          <w:lang w:val="en-US"/>
        </w:rPr>
        <w:t xml:space="preserve">Temporal trends and clonal diversity of penicillin non-susceptible pneumococci from meningitis cases from 1996 to 2012, in Salvador, Brazil. BMC Infect Dis. </w:t>
      </w:r>
      <w:proofErr w:type="gramStart"/>
      <w:r w:rsidRPr="00DD3DBE">
        <w:rPr>
          <w:rFonts w:ascii="Arial" w:hAnsi="Arial" w:cs="Arial"/>
          <w:sz w:val="20"/>
          <w:szCs w:val="20"/>
          <w:lang w:val="en-US"/>
        </w:rPr>
        <w:t>2015</w:t>
      </w:r>
      <w:r w:rsidR="005F7019" w:rsidRPr="00DD3DBE">
        <w:rPr>
          <w:rFonts w:ascii="Arial" w:hAnsi="Arial" w:cs="Arial"/>
          <w:sz w:val="20"/>
          <w:szCs w:val="20"/>
          <w:lang w:val="en-US"/>
        </w:rPr>
        <w:t>;15:302</w:t>
      </w:r>
      <w:proofErr w:type="gramEnd"/>
      <w:r w:rsidR="005F7019" w:rsidRPr="00DD3DBE">
        <w:rPr>
          <w:rFonts w:ascii="Arial" w:hAnsi="Arial" w:cs="Arial"/>
          <w:sz w:val="20"/>
          <w:szCs w:val="20"/>
          <w:lang w:val="en-US"/>
        </w:rPr>
        <w:t>.</w:t>
      </w:r>
    </w:p>
    <w:p w14:paraId="0FAED840" w14:textId="77777777" w:rsidR="00B32E1A" w:rsidRPr="00DD3DBE" w:rsidRDefault="00B32E1A" w:rsidP="00DD3D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  <w:lang w:val="en-US"/>
        </w:rPr>
        <w:t xml:space="preserve">Kulik DM,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Uleryk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EM, Maguire JL. Does this child have bacterial meningitis? A systematic review of clinical prediction rules for children with suspected bacterial meningitis. J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Med. 2013 Oct;45(4):508-19.</w:t>
      </w:r>
    </w:p>
    <w:p w14:paraId="41AAC101" w14:textId="77777777" w:rsidR="00B32E1A" w:rsidRPr="00DD3DBE" w:rsidRDefault="00B32E1A" w:rsidP="00DD3DBE">
      <w:pPr>
        <w:numPr>
          <w:ilvl w:val="0"/>
          <w:numId w:val="13"/>
        </w:numPr>
        <w:spacing w:before="160" w:after="16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Oordt-Speets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AM,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Bolijn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R, van Hoorn RC, Bhavsar A, Kyaw MH. Global etiology of bacterial meningitis: A systematic review and meta-analysis.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PLoS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One. 2018;13(6</w:t>
      </w:r>
      <w:proofErr w:type="gramStart"/>
      <w:r w:rsidRPr="00DD3DBE">
        <w:rPr>
          <w:rFonts w:ascii="Arial" w:hAnsi="Arial" w:cs="Arial"/>
          <w:sz w:val="20"/>
          <w:szCs w:val="20"/>
          <w:lang w:val="en-US"/>
        </w:rPr>
        <w:t>):e</w:t>
      </w:r>
      <w:proofErr w:type="gramEnd"/>
      <w:r w:rsidRPr="00DD3DBE">
        <w:rPr>
          <w:rFonts w:ascii="Arial" w:hAnsi="Arial" w:cs="Arial"/>
          <w:sz w:val="20"/>
          <w:szCs w:val="20"/>
          <w:lang w:val="en-US"/>
        </w:rPr>
        <w:t>0198772.</w:t>
      </w:r>
    </w:p>
    <w:p w14:paraId="4EBB0E37" w14:textId="77777777" w:rsidR="00B32E1A" w:rsidRPr="00DD3DBE" w:rsidRDefault="00B32E1A" w:rsidP="00DD3D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DD3DBE">
        <w:rPr>
          <w:rFonts w:ascii="Arial" w:hAnsi="Arial" w:cs="Arial"/>
          <w:sz w:val="20"/>
          <w:szCs w:val="20"/>
          <w:lang w:val="en-US"/>
        </w:rPr>
        <w:t xml:space="preserve">Chavez-Bueno S, McCracken GH, Jr. Bacterial meningitis in children.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Pediatr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Clin North </w:t>
      </w:r>
      <w:r w:rsidR="00034189" w:rsidRPr="00DD3DBE">
        <w:rPr>
          <w:rFonts w:ascii="Arial" w:hAnsi="Arial" w:cs="Arial"/>
          <w:sz w:val="20"/>
          <w:szCs w:val="20"/>
          <w:lang w:val="en-US"/>
        </w:rPr>
        <w:t>Am. 2005;52(3):795-810.</w:t>
      </w:r>
    </w:p>
    <w:p w14:paraId="791D3F6D" w14:textId="77777777" w:rsidR="005E4BBB" w:rsidRPr="007E5DC7" w:rsidRDefault="005F7019" w:rsidP="00DD3DB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D3DBE">
        <w:rPr>
          <w:rFonts w:ascii="Arial" w:hAnsi="Arial" w:cs="Arial"/>
          <w:sz w:val="20"/>
          <w:szCs w:val="20"/>
          <w:lang w:val="en-US"/>
        </w:rPr>
        <w:t xml:space="preserve">Brouwer MC, McIntyre P, Prasad K, van de </w:t>
      </w:r>
      <w:proofErr w:type="spellStart"/>
      <w:r w:rsidRPr="00DD3DBE">
        <w:rPr>
          <w:rFonts w:ascii="Arial" w:hAnsi="Arial" w:cs="Arial"/>
          <w:sz w:val="20"/>
          <w:szCs w:val="20"/>
          <w:lang w:val="en-US"/>
        </w:rPr>
        <w:t>Beek</w:t>
      </w:r>
      <w:proofErr w:type="spellEnd"/>
      <w:r w:rsidRPr="00DD3DBE">
        <w:rPr>
          <w:rFonts w:ascii="Arial" w:hAnsi="Arial" w:cs="Arial"/>
          <w:sz w:val="20"/>
          <w:szCs w:val="20"/>
          <w:lang w:val="en-US"/>
        </w:rPr>
        <w:t xml:space="preserve"> D. Corticosteroids for acute bacterial meningitis. Cochrane Database of Systematic Reviews 2015, Issue 9. Art. No.: CD004405.</w:t>
      </w:r>
    </w:p>
    <w:p w14:paraId="72172491" w14:textId="77777777" w:rsidR="007E5DC7" w:rsidRPr="00DD3DBE" w:rsidRDefault="007E5DC7" w:rsidP="007E5DC7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2B1B04D" w14:textId="48B84490" w:rsidR="00953BC7" w:rsidRPr="00DD3DBE" w:rsidRDefault="008F5A57" w:rsidP="007E5DC7">
      <w:pPr>
        <w:pStyle w:val="Default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Dr. </w:t>
      </w:r>
      <w:r w:rsidR="008A3558" w:rsidRPr="00DD3DBE">
        <w:rPr>
          <w:rFonts w:ascii="Arial" w:hAnsi="Arial" w:cs="Arial"/>
          <w:color w:val="auto"/>
          <w:sz w:val="20"/>
          <w:szCs w:val="20"/>
        </w:rPr>
        <w:t xml:space="preserve">Marco </w:t>
      </w:r>
      <w:proofErr w:type="spellStart"/>
      <w:r w:rsidR="008A3558" w:rsidRPr="00DD3DBE">
        <w:rPr>
          <w:rFonts w:ascii="Arial" w:hAnsi="Arial" w:cs="Arial"/>
          <w:color w:val="auto"/>
          <w:sz w:val="20"/>
          <w:szCs w:val="20"/>
        </w:rPr>
        <w:t>Antonio</w:t>
      </w:r>
      <w:proofErr w:type="spellEnd"/>
      <w:r w:rsidR="008A3558" w:rsidRPr="00DD3DBE">
        <w:rPr>
          <w:rFonts w:ascii="Arial" w:hAnsi="Arial" w:cs="Arial"/>
          <w:color w:val="auto"/>
          <w:sz w:val="20"/>
          <w:szCs w:val="20"/>
        </w:rPr>
        <w:t xml:space="preserve"> Alves Cunha</w:t>
      </w:r>
    </w:p>
    <w:sectPr w:rsidR="00953BC7" w:rsidRPr="00DD3DBE">
      <w:pgSz w:w="11910" w:h="17345"/>
      <w:pgMar w:top="1040" w:right="1716" w:bottom="1417" w:left="6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1C95"/>
    <w:multiLevelType w:val="hybridMultilevel"/>
    <w:tmpl w:val="8C84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3E84"/>
    <w:multiLevelType w:val="hybridMultilevel"/>
    <w:tmpl w:val="26FAC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01C3D"/>
    <w:multiLevelType w:val="hybridMultilevel"/>
    <w:tmpl w:val="08A8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FA"/>
    <w:multiLevelType w:val="hybridMultilevel"/>
    <w:tmpl w:val="7EE22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309A"/>
    <w:multiLevelType w:val="hybridMultilevel"/>
    <w:tmpl w:val="7AEA0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6463"/>
    <w:multiLevelType w:val="hybridMultilevel"/>
    <w:tmpl w:val="D6BC76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7F21E9"/>
    <w:multiLevelType w:val="hybridMultilevel"/>
    <w:tmpl w:val="33EC6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BF3"/>
    <w:multiLevelType w:val="hybridMultilevel"/>
    <w:tmpl w:val="40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96A16"/>
    <w:multiLevelType w:val="hybridMultilevel"/>
    <w:tmpl w:val="13086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336D5"/>
    <w:multiLevelType w:val="hybridMultilevel"/>
    <w:tmpl w:val="2B549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07693"/>
    <w:multiLevelType w:val="hybridMultilevel"/>
    <w:tmpl w:val="8092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3592D"/>
    <w:multiLevelType w:val="hybridMultilevel"/>
    <w:tmpl w:val="43267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C69B5"/>
    <w:multiLevelType w:val="hybridMultilevel"/>
    <w:tmpl w:val="01927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65815"/>
    <w:multiLevelType w:val="hybridMultilevel"/>
    <w:tmpl w:val="EA0C7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80305"/>
    <w:multiLevelType w:val="hybridMultilevel"/>
    <w:tmpl w:val="F85216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21FEE"/>
    <w:multiLevelType w:val="hybridMultilevel"/>
    <w:tmpl w:val="4B0A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1730"/>
    <w:multiLevelType w:val="hybridMultilevel"/>
    <w:tmpl w:val="7B12D60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513B73"/>
    <w:multiLevelType w:val="hybridMultilevel"/>
    <w:tmpl w:val="8BC69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B4646"/>
    <w:multiLevelType w:val="hybridMultilevel"/>
    <w:tmpl w:val="D53E4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95BC1"/>
    <w:multiLevelType w:val="hybridMultilevel"/>
    <w:tmpl w:val="8DE8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B00EA"/>
    <w:multiLevelType w:val="hybridMultilevel"/>
    <w:tmpl w:val="6026E8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3040BD"/>
    <w:multiLevelType w:val="hybridMultilevel"/>
    <w:tmpl w:val="08B6A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B3797"/>
    <w:multiLevelType w:val="hybridMultilevel"/>
    <w:tmpl w:val="ABB24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718AB"/>
    <w:multiLevelType w:val="hybridMultilevel"/>
    <w:tmpl w:val="0A62C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B7076"/>
    <w:multiLevelType w:val="hybridMultilevel"/>
    <w:tmpl w:val="6BCC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F4C51"/>
    <w:multiLevelType w:val="hybridMultilevel"/>
    <w:tmpl w:val="D0EC7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66ED0"/>
    <w:multiLevelType w:val="hybridMultilevel"/>
    <w:tmpl w:val="C42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869B4"/>
    <w:multiLevelType w:val="hybridMultilevel"/>
    <w:tmpl w:val="E8F6A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40C10"/>
    <w:multiLevelType w:val="hybridMultilevel"/>
    <w:tmpl w:val="F062A1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F56732"/>
    <w:multiLevelType w:val="hybridMultilevel"/>
    <w:tmpl w:val="91F85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A10A2"/>
    <w:multiLevelType w:val="hybridMultilevel"/>
    <w:tmpl w:val="BF3CE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62332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6"/>
  </w:num>
  <w:num w:numId="9">
    <w:abstractNumId w:val="11"/>
  </w:num>
  <w:num w:numId="10">
    <w:abstractNumId w:val="21"/>
  </w:num>
  <w:num w:numId="11">
    <w:abstractNumId w:val="10"/>
  </w:num>
  <w:num w:numId="12">
    <w:abstractNumId w:val="26"/>
  </w:num>
  <w:num w:numId="13">
    <w:abstractNumId w:val="20"/>
  </w:num>
  <w:num w:numId="14">
    <w:abstractNumId w:val="17"/>
  </w:num>
  <w:num w:numId="15">
    <w:abstractNumId w:val="24"/>
  </w:num>
  <w:num w:numId="16">
    <w:abstractNumId w:val="13"/>
  </w:num>
  <w:num w:numId="17">
    <w:abstractNumId w:val="22"/>
  </w:num>
  <w:num w:numId="18">
    <w:abstractNumId w:val="27"/>
  </w:num>
  <w:num w:numId="19">
    <w:abstractNumId w:val="8"/>
  </w:num>
  <w:num w:numId="20">
    <w:abstractNumId w:val="25"/>
  </w:num>
  <w:num w:numId="21">
    <w:abstractNumId w:val="5"/>
  </w:num>
  <w:num w:numId="22">
    <w:abstractNumId w:val="28"/>
  </w:num>
  <w:num w:numId="23">
    <w:abstractNumId w:val="1"/>
  </w:num>
  <w:num w:numId="24">
    <w:abstractNumId w:val="3"/>
  </w:num>
  <w:num w:numId="25">
    <w:abstractNumId w:val="30"/>
  </w:num>
  <w:num w:numId="26">
    <w:abstractNumId w:val="12"/>
  </w:num>
  <w:num w:numId="27">
    <w:abstractNumId w:val="14"/>
  </w:num>
  <w:num w:numId="28">
    <w:abstractNumId w:val="29"/>
  </w:num>
  <w:num w:numId="29">
    <w:abstractNumId w:val="23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58"/>
    <w:rsid w:val="0002636B"/>
    <w:rsid w:val="00034189"/>
    <w:rsid w:val="0007214E"/>
    <w:rsid w:val="000D52BB"/>
    <w:rsid w:val="00124A90"/>
    <w:rsid w:val="001344C3"/>
    <w:rsid w:val="00171B60"/>
    <w:rsid w:val="001A7875"/>
    <w:rsid w:val="001C0981"/>
    <w:rsid w:val="00287176"/>
    <w:rsid w:val="00296A01"/>
    <w:rsid w:val="00340247"/>
    <w:rsid w:val="00406D9E"/>
    <w:rsid w:val="004B41DD"/>
    <w:rsid w:val="004E3BB5"/>
    <w:rsid w:val="0051571D"/>
    <w:rsid w:val="005459AE"/>
    <w:rsid w:val="005B34EC"/>
    <w:rsid w:val="005B7A97"/>
    <w:rsid w:val="005C3008"/>
    <w:rsid w:val="005E4BBB"/>
    <w:rsid w:val="005E61FA"/>
    <w:rsid w:val="005F7019"/>
    <w:rsid w:val="006251F0"/>
    <w:rsid w:val="00647F1D"/>
    <w:rsid w:val="007515B8"/>
    <w:rsid w:val="00760217"/>
    <w:rsid w:val="007E5DC7"/>
    <w:rsid w:val="008203AD"/>
    <w:rsid w:val="008337D0"/>
    <w:rsid w:val="00854F47"/>
    <w:rsid w:val="00865E4F"/>
    <w:rsid w:val="008A3558"/>
    <w:rsid w:val="008C3864"/>
    <w:rsid w:val="008F5A57"/>
    <w:rsid w:val="009308E9"/>
    <w:rsid w:val="00953BC7"/>
    <w:rsid w:val="00A650E2"/>
    <w:rsid w:val="00A91DD8"/>
    <w:rsid w:val="00B17D86"/>
    <w:rsid w:val="00B32E1A"/>
    <w:rsid w:val="00B675A8"/>
    <w:rsid w:val="00B74044"/>
    <w:rsid w:val="00B82F6E"/>
    <w:rsid w:val="00BE2342"/>
    <w:rsid w:val="00C3229F"/>
    <w:rsid w:val="00DD3DBE"/>
    <w:rsid w:val="00DE6579"/>
    <w:rsid w:val="00DE7800"/>
    <w:rsid w:val="00EC613E"/>
    <w:rsid w:val="00F47DE2"/>
    <w:rsid w:val="00F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369D65"/>
  <w14:defaultImageDpi w14:val="0"/>
  <w15:docId w15:val="{2F437DA8-4496-4587-94D2-90EC9AB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E2342"/>
    <w:pPr>
      <w:ind w:left="720"/>
      <w:contextualSpacing/>
    </w:pPr>
  </w:style>
  <w:style w:type="paragraph" w:styleId="Ttulo">
    <w:name w:val="Title"/>
    <w:basedOn w:val="Normal"/>
    <w:link w:val="TtuloChar"/>
    <w:qFormat/>
    <w:rsid w:val="00854F47"/>
    <w:pPr>
      <w:spacing w:before="40" w:after="40" w:line="240" w:lineRule="auto"/>
      <w:jc w:val="center"/>
    </w:pPr>
    <w:rPr>
      <w:rFonts w:ascii="Arial" w:eastAsia="Times New Roman" w:hAnsi="Arial" w:cs="Arial"/>
      <w:b/>
      <w:bCs/>
      <w:szCs w:val="24"/>
    </w:rPr>
  </w:style>
  <w:style w:type="character" w:customStyle="1" w:styleId="TtuloChar">
    <w:name w:val="Título Char"/>
    <w:basedOn w:val="Fontepargpadro"/>
    <w:link w:val="Ttulo"/>
    <w:rsid w:val="00854F47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basedOn w:val="Fontepargpadro"/>
    <w:rsid w:val="00854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1594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Preceptoria da Residência Médica URP-HRT</dc:creator>
  <cp:lastModifiedBy>RODOLFO ROCHANETO</cp:lastModifiedBy>
  <cp:revision>7</cp:revision>
  <dcterms:created xsi:type="dcterms:W3CDTF">2018-08-02T22:45:00Z</dcterms:created>
  <dcterms:modified xsi:type="dcterms:W3CDTF">2020-05-18T02:59:00Z</dcterms:modified>
</cp:coreProperties>
</file>