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77A25" w14:textId="77777777" w:rsidR="00E32AF1" w:rsidRPr="008F4BF5" w:rsidRDefault="00E32AF1" w:rsidP="008F4BF5">
      <w:pPr>
        <w:autoSpaceDE w:val="0"/>
        <w:autoSpaceDN w:val="0"/>
        <w:adjustRightInd w:val="0"/>
        <w:spacing w:after="0" w:line="276" w:lineRule="auto"/>
        <w:rPr>
          <w:rFonts w:ascii="Arial" w:hAnsi="Arial" w:cs="Arial"/>
          <w:bCs/>
          <w:sz w:val="28"/>
          <w:szCs w:val="28"/>
        </w:rPr>
      </w:pPr>
      <w:r w:rsidRPr="008F4BF5">
        <w:rPr>
          <w:rFonts w:ascii="Arial" w:hAnsi="Arial" w:cs="Arial"/>
          <w:bCs/>
          <w:sz w:val="28"/>
          <w:szCs w:val="28"/>
        </w:rPr>
        <w:t>OSTEOMIELITE</w:t>
      </w:r>
    </w:p>
    <w:p w14:paraId="6DA5AD03" w14:textId="77777777" w:rsidR="00E32AF1" w:rsidRPr="00DD107B" w:rsidRDefault="00E32AF1" w:rsidP="00DD107B">
      <w:pPr>
        <w:autoSpaceDE w:val="0"/>
        <w:autoSpaceDN w:val="0"/>
        <w:adjustRightInd w:val="0"/>
        <w:spacing w:after="0" w:line="276" w:lineRule="auto"/>
        <w:jc w:val="both"/>
        <w:rPr>
          <w:rFonts w:ascii="Arial" w:hAnsi="Arial" w:cs="Arial"/>
          <w:sz w:val="20"/>
          <w:szCs w:val="20"/>
        </w:rPr>
      </w:pPr>
    </w:p>
    <w:p w14:paraId="07EB488D" w14:textId="77777777" w:rsidR="00DD107B" w:rsidRDefault="00E32AF1" w:rsidP="00DD107B">
      <w:pPr>
        <w:pStyle w:val="PargrafodaLista"/>
        <w:numPr>
          <w:ilvl w:val="0"/>
          <w:numId w:val="2"/>
        </w:numPr>
        <w:autoSpaceDE w:val="0"/>
        <w:autoSpaceDN w:val="0"/>
        <w:adjustRightInd w:val="0"/>
        <w:spacing w:after="0" w:line="276" w:lineRule="auto"/>
        <w:jc w:val="both"/>
        <w:rPr>
          <w:rFonts w:ascii="Arial" w:hAnsi="Arial" w:cs="Arial"/>
          <w:sz w:val="20"/>
          <w:szCs w:val="20"/>
        </w:rPr>
      </w:pPr>
      <w:r w:rsidRPr="00DD107B">
        <w:rPr>
          <w:rFonts w:ascii="Arial" w:hAnsi="Arial" w:cs="Arial"/>
          <w:b/>
          <w:sz w:val="24"/>
          <w:szCs w:val="24"/>
        </w:rPr>
        <w:t>Definição</w:t>
      </w:r>
      <w:r w:rsidRPr="00DD107B">
        <w:rPr>
          <w:rFonts w:ascii="Arial" w:hAnsi="Arial" w:cs="Arial"/>
          <w:sz w:val="20"/>
          <w:szCs w:val="20"/>
        </w:rPr>
        <w:t>:</w:t>
      </w:r>
    </w:p>
    <w:p w14:paraId="684AF175" w14:textId="77777777" w:rsidR="00DD107B" w:rsidRDefault="00DD107B" w:rsidP="00DD107B">
      <w:pPr>
        <w:pStyle w:val="PargrafodaLista"/>
        <w:autoSpaceDE w:val="0"/>
        <w:autoSpaceDN w:val="0"/>
        <w:adjustRightInd w:val="0"/>
        <w:spacing w:after="0" w:line="276" w:lineRule="auto"/>
        <w:jc w:val="both"/>
        <w:rPr>
          <w:rFonts w:ascii="Arial" w:hAnsi="Arial" w:cs="Arial"/>
          <w:sz w:val="20"/>
          <w:szCs w:val="20"/>
        </w:rPr>
      </w:pPr>
    </w:p>
    <w:p w14:paraId="1E1E041A" w14:textId="77777777" w:rsidR="00E32AF1" w:rsidRPr="00DD107B" w:rsidRDefault="00DD107B" w:rsidP="00DD107B">
      <w:pPr>
        <w:autoSpaceDE w:val="0"/>
        <w:autoSpaceDN w:val="0"/>
        <w:adjustRightInd w:val="0"/>
        <w:spacing w:after="0" w:line="276" w:lineRule="auto"/>
        <w:jc w:val="both"/>
        <w:rPr>
          <w:rFonts w:ascii="Arial" w:hAnsi="Arial" w:cs="Arial"/>
          <w:sz w:val="20"/>
          <w:szCs w:val="20"/>
        </w:rPr>
      </w:pPr>
      <w:r>
        <w:rPr>
          <w:rFonts w:ascii="Arial" w:hAnsi="Arial" w:cs="Arial"/>
          <w:sz w:val="20"/>
          <w:szCs w:val="20"/>
        </w:rPr>
        <w:t xml:space="preserve"> A</w:t>
      </w:r>
      <w:r w:rsidR="00E32AF1" w:rsidRPr="00DD107B">
        <w:rPr>
          <w:rFonts w:ascii="Arial" w:hAnsi="Arial" w:cs="Arial"/>
          <w:sz w:val="20"/>
          <w:szCs w:val="20"/>
        </w:rPr>
        <w:t xml:space="preserve"> osteomielite hematogênica aguda é uma infecção óssea causada por germes piogênicos que se proliferam no tecido ósseo após disseminação pela circulação sanguínea. É considerada uma doença bacteriana invasiva e figura, ainda, como causa importante de morbidade na infância.</w:t>
      </w:r>
    </w:p>
    <w:p w14:paraId="009010D2" w14:textId="77777777" w:rsidR="00E32AF1" w:rsidRPr="00DD107B" w:rsidRDefault="00E32AF1" w:rsidP="00DD107B">
      <w:pPr>
        <w:autoSpaceDE w:val="0"/>
        <w:autoSpaceDN w:val="0"/>
        <w:adjustRightInd w:val="0"/>
        <w:spacing w:after="0" w:line="276" w:lineRule="auto"/>
        <w:jc w:val="both"/>
        <w:rPr>
          <w:rFonts w:ascii="Arial" w:hAnsi="Arial" w:cs="Arial"/>
          <w:sz w:val="20"/>
          <w:szCs w:val="20"/>
        </w:rPr>
      </w:pPr>
      <w:r w:rsidRPr="00DD107B">
        <w:rPr>
          <w:rFonts w:ascii="Arial" w:hAnsi="Arial" w:cs="Arial"/>
          <w:sz w:val="20"/>
          <w:szCs w:val="20"/>
        </w:rPr>
        <w:t>Epidemiologia: apresenta um pico de ocorrência até os 2 anos e outro ao redor dos 7 a 9 anos de idade. Os pacientes do sexo masculino são mais acometidos na proporção de 3:1. Sua incidência anual não sofreu mudanças nas últimas décadas, variando de 1:5.000 a 1:10.000 crianças. O trauma local aumentou a frequência de infecção óssea quando comparado a ossos não-traumatizados.</w:t>
      </w:r>
    </w:p>
    <w:p w14:paraId="31E204AF" w14:textId="77777777" w:rsidR="00E32AF1" w:rsidRPr="00DD107B" w:rsidRDefault="00E32AF1" w:rsidP="00DD107B">
      <w:pPr>
        <w:autoSpaceDE w:val="0"/>
        <w:autoSpaceDN w:val="0"/>
        <w:adjustRightInd w:val="0"/>
        <w:spacing w:after="0" w:line="276" w:lineRule="auto"/>
        <w:jc w:val="both"/>
        <w:rPr>
          <w:rFonts w:ascii="Arial" w:hAnsi="Arial" w:cs="Arial"/>
          <w:sz w:val="20"/>
          <w:szCs w:val="20"/>
        </w:rPr>
      </w:pPr>
      <w:r w:rsidRPr="00DD107B">
        <w:rPr>
          <w:rFonts w:ascii="Arial" w:hAnsi="Arial" w:cs="Arial"/>
          <w:sz w:val="20"/>
          <w:szCs w:val="20"/>
        </w:rPr>
        <w:t>Aspectos gerais: a osteomielite ocorre principalmente nas metáfises com maior velocidade de crescimento e sendo as metáfises distais do fêmur e proximal da tíbia (ossos longos) as mais freqüentemente acometidas. Cerca de 72% das osteomielites ocorrem nos membros inferiores e 8% nos superiores.</w:t>
      </w:r>
    </w:p>
    <w:p w14:paraId="46DA707C" w14:textId="77777777" w:rsidR="00E32AF1" w:rsidRPr="00DD107B" w:rsidRDefault="00E32AF1" w:rsidP="00DD107B">
      <w:pPr>
        <w:spacing w:line="276" w:lineRule="auto"/>
        <w:jc w:val="both"/>
        <w:rPr>
          <w:rFonts w:ascii="Arial" w:hAnsi="Arial" w:cs="Arial"/>
          <w:sz w:val="20"/>
          <w:szCs w:val="20"/>
        </w:rPr>
      </w:pPr>
      <w:r w:rsidRPr="00DD107B">
        <w:rPr>
          <w:rFonts w:ascii="Arial" w:hAnsi="Arial" w:cs="Arial"/>
          <w:sz w:val="20"/>
          <w:szCs w:val="20"/>
        </w:rPr>
        <w:t>Quadro clínico: febre, edema com dor local e perda de função do membro acometido.</w:t>
      </w:r>
    </w:p>
    <w:p w14:paraId="451A3241" w14:textId="77777777" w:rsidR="00DD107B" w:rsidRPr="00DD107B" w:rsidRDefault="00E32AF1" w:rsidP="00DD107B">
      <w:pPr>
        <w:pStyle w:val="PargrafodaLista"/>
        <w:numPr>
          <w:ilvl w:val="0"/>
          <w:numId w:val="2"/>
        </w:numPr>
        <w:spacing w:line="276" w:lineRule="auto"/>
        <w:jc w:val="both"/>
        <w:rPr>
          <w:rFonts w:ascii="Arial" w:hAnsi="Arial" w:cs="Arial"/>
          <w:b/>
          <w:sz w:val="24"/>
          <w:szCs w:val="24"/>
        </w:rPr>
      </w:pPr>
      <w:r w:rsidRPr="00DD107B">
        <w:rPr>
          <w:rFonts w:ascii="Arial" w:hAnsi="Arial" w:cs="Arial"/>
          <w:b/>
          <w:sz w:val="24"/>
          <w:szCs w:val="24"/>
        </w:rPr>
        <w:t>Diagnóstico:</w:t>
      </w:r>
    </w:p>
    <w:p w14:paraId="1906CAAC" w14:textId="77777777" w:rsidR="00E32AF1" w:rsidRPr="00DD107B" w:rsidRDefault="00DD107B" w:rsidP="00DD107B">
      <w:pPr>
        <w:spacing w:line="276" w:lineRule="auto"/>
        <w:jc w:val="both"/>
        <w:rPr>
          <w:rFonts w:ascii="Arial" w:hAnsi="Arial" w:cs="Arial"/>
          <w:b/>
          <w:sz w:val="24"/>
          <w:szCs w:val="24"/>
        </w:rPr>
      </w:pPr>
      <w:r>
        <w:rPr>
          <w:rFonts w:ascii="Arial" w:hAnsi="Arial" w:cs="Arial"/>
          <w:sz w:val="20"/>
          <w:szCs w:val="20"/>
        </w:rPr>
        <w:t xml:space="preserve"> D</w:t>
      </w:r>
      <w:r w:rsidR="00E32AF1" w:rsidRPr="00DD107B">
        <w:rPr>
          <w:rFonts w:ascii="Arial" w:hAnsi="Arial" w:cs="Arial"/>
          <w:sz w:val="20"/>
          <w:szCs w:val="20"/>
        </w:rPr>
        <w:t>epende fundamentalmente da suspeita clínica e é confirmado por exames de imagem.</w:t>
      </w:r>
    </w:p>
    <w:p w14:paraId="3499E0E8" w14:textId="77777777" w:rsidR="00E32AF1" w:rsidRPr="00DD107B" w:rsidRDefault="00E32AF1" w:rsidP="00DD107B">
      <w:pPr>
        <w:pStyle w:val="PargrafodaLista"/>
        <w:numPr>
          <w:ilvl w:val="0"/>
          <w:numId w:val="2"/>
        </w:numPr>
        <w:spacing w:line="276" w:lineRule="auto"/>
        <w:jc w:val="both"/>
        <w:rPr>
          <w:rFonts w:ascii="Arial" w:hAnsi="Arial" w:cs="Arial"/>
          <w:b/>
          <w:sz w:val="24"/>
          <w:szCs w:val="24"/>
        </w:rPr>
      </w:pPr>
      <w:r w:rsidRPr="00DD107B">
        <w:rPr>
          <w:rFonts w:ascii="Arial" w:hAnsi="Arial" w:cs="Arial"/>
          <w:b/>
          <w:sz w:val="24"/>
          <w:szCs w:val="24"/>
        </w:rPr>
        <w:t>Exames complementares:</w:t>
      </w:r>
    </w:p>
    <w:p w14:paraId="0E55F582" w14:textId="77777777" w:rsidR="00E32AF1" w:rsidRPr="00DD107B" w:rsidRDefault="00E32AF1" w:rsidP="00DD107B">
      <w:pPr>
        <w:spacing w:line="276" w:lineRule="auto"/>
        <w:jc w:val="both"/>
        <w:rPr>
          <w:rFonts w:ascii="Arial" w:hAnsi="Arial" w:cs="Arial"/>
          <w:sz w:val="20"/>
          <w:szCs w:val="20"/>
        </w:rPr>
      </w:pPr>
      <w:r w:rsidRPr="00DD107B">
        <w:rPr>
          <w:rFonts w:ascii="Arial" w:hAnsi="Arial" w:cs="Arial"/>
          <w:b/>
          <w:sz w:val="20"/>
          <w:szCs w:val="20"/>
        </w:rPr>
        <w:t>Hemocultura</w:t>
      </w:r>
      <w:r w:rsidR="00DD107B">
        <w:rPr>
          <w:rFonts w:ascii="Arial" w:hAnsi="Arial" w:cs="Arial"/>
          <w:sz w:val="20"/>
          <w:szCs w:val="20"/>
        </w:rPr>
        <w:t>:</w:t>
      </w:r>
      <w:r w:rsidRPr="00DD107B">
        <w:rPr>
          <w:rFonts w:ascii="Arial" w:hAnsi="Arial" w:cs="Arial"/>
          <w:sz w:val="20"/>
          <w:szCs w:val="20"/>
        </w:rPr>
        <w:t xml:space="preserve"> (30 a 50% de positividade): deve ser solicitada em todos os casos suspeitos e cultura da secreção extraída do sítio afetado com agulha grossa (havendo ou não abscesso subperiostal), punção esta que deve ser realizada pela ortopedia (50 a 80% de positividade).</w:t>
      </w:r>
    </w:p>
    <w:p w14:paraId="12B82BCF" w14:textId="77777777" w:rsidR="00E32AF1" w:rsidRPr="00DD107B" w:rsidRDefault="00E32AF1" w:rsidP="00DD107B">
      <w:pPr>
        <w:spacing w:line="276" w:lineRule="auto"/>
        <w:jc w:val="both"/>
        <w:rPr>
          <w:rFonts w:ascii="Arial" w:hAnsi="Arial" w:cs="Arial"/>
          <w:sz w:val="20"/>
          <w:szCs w:val="20"/>
        </w:rPr>
      </w:pPr>
      <w:r w:rsidRPr="00DD107B">
        <w:rPr>
          <w:rFonts w:ascii="Arial" w:hAnsi="Arial" w:cs="Arial"/>
          <w:b/>
          <w:sz w:val="20"/>
          <w:szCs w:val="20"/>
        </w:rPr>
        <w:t>Hemograma:</w:t>
      </w:r>
      <w:r w:rsidRPr="00DD107B">
        <w:rPr>
          <w:rFonts w:ascii="Arial" w:hAnsi="Arial" w:cs="Arial"/>
          <w:sz w:val="20"/>
          <w:szCs w:val="20"/>
        </w:rPr>
        <w:t xml:space="preserve"> pode se mostrar normal no início ou com uma anemia leve. Leucocitose com desvio a esquerda podem ocorrer na evolução.</w:t>
      </w:r>
    </w:p>
    <w:p w14:paraId="3E7564CA" w14:textId="77777777" w:rsidR="00E32AF1" w:rsidRPr="00DD107B" w:rsidRDefault="00E32AF1" w:rsidP="00DD107B">
      <w:pPr>
        <w:spacing w:line="276" w:lineRule="auto"/>
        <w:jc w:val="both"/>
        <w:rPr>
          <w:rFonts w:ascii="Arial" w:hAnsi="Arial" w:cs="Arial"/>
          <w:sz w:val="20"/>
          <w:szCs w:val="20"/>
        </w:rPr>
      </w:pPr>
      <w:r w:rsidRPr="00DD107B">
        <w:rPr>
          <w:rFonts w:ascii="Arial" w:hAnsi="Arial" w:cs="Arial"/>
          <w:b/>
          <w:sz w:val="20"/>
          <w:szCs w:val="20"/>
        </w:rPr>
        <w:t>PAI:</w:t>
      </w:r>
      <w:r w:rsidRPr="00DD107B">
        <w:rPr>
          <w:rFonts w:ascii="Arial" w:hAnsi="Arial" w:cs="Arial"/>
          <w:sz w:val="20"/>
          <w:szCs w:val="20"/>
        </w:rPr>
        <w:t xml:space="preserve"> há aumento precoce da PCR e do VHS, de maneira evolutivamente importante.</w:t>
      </w:r>
    </w:p>
    <w:p w14:paraId="38A862E3" w14:textId="77777777" w:rsidR="00E32AF1" w:rsidRPr="00DD107B" w:rsidRDefault="00E32AF1" w:rsidP="00DD107B">
      <w:pPr>
        <w:spacing w:line="276" w:lineRule="auto"/>
        <w:jc w:val="both"/>
        <w:rPr>
          <w:rFonts w:ascii="Arial" w:hAnsi="Arial" w:cs="Arial"/>
          <w:sz w:val="20"/>
          <w:szCs w:val="20"/>
        </w:rPr>
      </w:pPr>
      <w:r w:rsidRPr="00DD107B">
        <w:rPr>
          <w:rFonts w:ascii="Arial" w:hAnsi="Arial" w:cs="Arial"/>
          <w:b/>
          <w:sz w:val="20"/>
          <w:szCs w:val="20"/>
        </w:rPr>
        <w:t>Raio X simples:</w:t>
      </w:r>
      <w:r w:rsidRPr="00DD107B">
        <w:rPr>
          <w:rFonts w:ascii="Arial" w:hAnsi="Arial" w:cs="Arial"/>
          <w:sz w:val="20"/>
          <w:szCs w:val="20"/>
        </w:rPr>
        <w:t xml:space="preserve"> é a primeira etapa na investigação por métodos de imagem em osteomielite, porque pode sugerir o diagnóstico correto, excluir outras doenças ou fornecer indícios para outras condições patológicas. Entretanto demora de 10 a 21 dias para que uma lesão óssea se torne visível em um exame radiográfico convencional.</w:t>
      </w:r>
    </w:p>
    <w:p w14:paraId="2EE67F93" w14:textId="77777777" w:rsidR="00E32AF1" w:rsidRPr="00DD107B" w:rsidRDefault="00E32AF1" w:rsidP="00DD107B">
      <w:pPr>
        <w:spacing w:line="276" w:lineRule="auto"/>
        <w:jc w:val="both"/>
        <w:rPr>
          <w:rFonts w:ascii="Arial" w:hAnsi="Arial" w:cs="Arial"/>
          <w:sz w:val="20"/>
          <w:szCs w:val="20"/>
        </w:rPr>
      </w:pPr>
      <w:r w:rsidRPr="00DD107B">
        <w:rPr>
          <w:rFonts w:ascii="Arial" w:hAnsi="Arial" w:cs="Arial"/>
          <w:sz w:val="20"/>
          <w:szCs w:val="20"/>
        </w:rPr>
        <w:t>Cintilografia óssea com tecnécio, a TC e a RM são úteis para a detecção precoce da osteomielite.</w:t>
      </w:r>
    </w:p>
    <w:p w14:paraId="5BB8ED76" w14:textId="77777777" w:rsidR="00E32AF1" w:rsidRPr="00DD107B" w:rsidRDefault="00E32AF1" w:rsidP="00DD107B">
      <w:pPr>
        <w:spacing w:line="276" w:lineRule="auto"/>
        <w:jc w:val="both"/>
        <w:rPr>
          <w:rFonts w:ascii="Arial" w:hAnsi="Arial" w:cs="Arial"/>
          <w:sz w:val="20"/>
          <w:szCs w:val="20"/>
        </w:rPr>
      </w:pPr>
      <w:r w:rsidRPr="00DD107B">
        <w:rPr>
          <w:rFonts w:ascii="Arial" w:hAnsi="Arial" w:cs="Arial"/>
          <w:sz w:val="20"/>
          <w:szCs w:val="20"/>
        </w:rPr>
        <w:t>Germes mais comuns: a epidemiologia da osteomielite hematogênica aguda na infância mudou desde que a imunização sistemática contra hemófilo do tipo B foi introduzida, no início dos anos 90. Atualmente, o agente mais comum em todas as faixas etárias é o estafilococo aureus. Entre os casos que tiveram o agente etiológico identificado, ele representa entre 25% a 60%. Outros agentes etiológicos incluem o estreptococo do grupo B e o pneumococo. Existem grupos com maior risco de acometimento de determinados agentes, como o estreptococo do grupo B, em neonatos, e salmonela sp, em portadores de anemia falciforme. É importante salientar que em muitos serviços, não são utilizados rotineiramente métodos de identificação da Kingella kingae, patógeno que vem se mostrando importante em infecções osteoarticulares na faixa etária pediátrica, especialmente em menores de dois anos de idade.</w:t>
      </w:r>
    </w:p>
    <w:p w14:paraId="607AB782" w14:textId="77777777" w:rsidR="00E32AF1" w:rsidRPr="00DD107B" w:rsidRDefault="00E32AF1" w:rsidP="00DD107B">
      <w:pPr>
        <w:spacing w:line="276" w:lineRule="auto"/>
        <w:jc w:val="both"/>
        <w:rPr>
          <w:rFonts w:ascii="Arial" w:hAnsi="Arial" w:cs="Arial"/>
          <w:sz w:val="20"/>
          <w:szCs w:val="20"/>
        </w:rPr>
      </w:pPr>
      <w:r w:rsidRPr="00DD107B">
        <w:rPr>
          <w:rFonts w:ascii="Arial" w:hAnsi="Arial" w:cs="Arial"/>
          <w:sz w:val="20"/>
          <w:szCs w:val="20"/>
        </w:rPr>
        <w:t xml:space="preserve">Abordagem: uma opção importante para o diagnóstico/avaliação da osteomielite é a exploração cirúrgica aberta, biópsia e drenagem, que além de fornecer material para análise, oferece visão do osso infectado e área circundante. Na abordagem cirúrgica aberta, o procedimento tanto serve para ajudar firmar o diagnóstico com coleta de material para análise, quanto para tratamento, </w:t>
      </w:r>
      <w:r w:rsidRPr="00DD107B">
        <w:rPr>
          <w:rFonts w:ascii="Arial" w:hAnsi="Arial" w:cs="Arial"/>
          <w:sz w:val="20"/>
          <w:szCs w:val="20"/>
        </w:rPr>
        <w:lastRenderedPageBreak/>
        <w:t>pois é possível desbridar áreas, realizar limpeza com retirada de material necrótico, favorecendo a cura da infecção.</w:t>
      </w:r>
    </w:p>
    <w:p w14:paraId="5EDEE8CA" w14:textId="77777777" w:rsidR="00DD107B" w:rsidRDefault="00E32AF1" w:rsidP="00DD107B">
      <w:pPr>
        <w:pStyle w:val="PargrafodaLista"/>
        <w:numPr>
          <w:ilvl w:val="0"/>
          <w:numId w:val="2"/>
        </w:numPr>
        <w:spacing w:line="276" w:lineRule="auto"/>
        <w:jc w:val="both"/>
        <w:rPr>
          <w:rFonts w:ascii="Arial" w:hAnsi="Arial" w:cs="Arial"/>
          <w:sz w:val="20"/>
          <w:szCs w:val="20"/>
        </w:rPr>
      </w:pPr>
      <w:r w:rsidRPr="00DD107B">
        <w:rPr>
          <w:rFonts w:ascii="Arial" w:hAnsi="Arial" w:cs="Arial"/>
          <w:b/>
          <w:sz w:val="24"/>
          <w:szCs w:val="24"/>
        </w:rPr>
        <w:t>Tratamento:</w:t>
      </w:r>
      <w:r w:rsidRPr="00DD107B">
        <w:rPr>
          <w:rFonts w:ascii="Arial" w:hAnsi="Arial" w:cs="Arial"/>
          <w:sz w:val="20"/>
          <w:szCs w:val="20"/>
        </w:rPr>
        <w:t xml:space="preserve"> </w:t>
      </w:r>
    </w:p>
    <w:p w14:paraId="2895832C" w14:textId="77777777" w:rsidR="00E32AF1" w:rsidRPr="00DD107B" w:rsidRDefault="00DD107B" w:rsidP="00DD107B">
      <w:pPr>
        <w:spacing w:line="276" w:lineRule="auto"/>
        <w:jc w:val="both"/>
        <w:rPr>
          <w:rFonts w:ascii="Arial" w:hAnsi="Arial" w:cs="Arial"/>
          <w:sz w:val="20"/>
          <w:szCs w:val="20"/>
        </w:rPr>
      </w:pPr>
      <w:r>
        <w:rPr>
          <w:rFonts w:ascii="Arial" w:hAnsi="Arial" w:cs="Arial"/>
          <w:sz w:val="20"/>
          <w:szCs w:val="20"/>
        </w:rPr>
        <w:t>N</w:t>
      </w:r>
      <w:r w:rsidR="00E32AF1" w:rsidRPr="00DD107B">
        <w:rPr>
          <w:rFonts w:ascii="Arial" w:hAnsi="Arial" w:cs="Arial"/>
          <w:sz w:val="20"/>
          <w:szCs w:val="20"/>
        </w:rPr>
        <w:t>a osteomielite, a drenagem cirúrgica está indicada sempre que houver presença ou suspeita de coleção purulenta no osso. A antibioticoterapia empírica é iniciada com base no agente etiológico mais provável, devendo cobrir, em todas as faixas etárias, o estafilococos aureus. No período neonatal, há necessidade de cobertura adicional para bactérias Gram negativas e nos falcêmicos, cobertura também para salmonela. O tempo de administração do antibiótico parenteral tem sido objeto de debate, inicialmente de 6 semanas, diminuiu mais recentemente para 3. O tempo total do tratamento geralmente é prolongado, variando entre os diferentes estudos de 6 a 12 semanas para osteomielites agudas, sendo sua suspensão determinada pela melhora do aspecto da lesão e do estado geral do paciente, bem como pela queda dos níveis séricos das provas inflamatórias, em especial da PCR e do VHS.</w:t>
      </w:r>
    </w:p>
    <w:p w14:paraId="0AD5F725" w14:textId="77777777" w:rsidR="00DD107B" w:rsidRDefault="00E32AF1" w:rsidP="00DD107B">
      <w:pPr>
        <w:pStyle w:val="PargrafodaLista"/>
        <w:numPr>
          <w:ilvl w:val="0"/>
          <w:numId w:val="2"/>
        </w:numPr>
        <w:spacing w:line="276" w:lineRule="auto"/>
        <w:jc w:val="both"/>
        <w:rPr>
          <w:rFonts w:ascii="Arial" w:hAnsi="Arial" w:cs="Arial"/>
          <w:sz w:val="20"/>
          <w:szCs w:val="20"/>
        </w:rPr>
      </w:pPr>
      <w:r w:rsidRPr="00DD107B">
        <w:rPr>
          <w:rFonts w:ascii="Arial" w:hAnsi="Arial" w:cs="Arial"/>
          <w:b/>
          <w:sz w:val="24"/>
          <w:szCs w:val="24"/>
        </w:rPr>
        <w:t>Complicações:</w:t>
      </w:r>
      <w:r w:rsidRPr="00DD107B">
        <w:rPr>
          <w:rFonts w:ascii="Arial" w:hAnsi="Arial" w:cs="Arial"/>
          <w:sz w:val="20"/>
          <w:szCs w:val="20"/>
        </w:rPr>
        <w:t xml:space="preserve"> </w:t>
      </w:r>
    </w:p>
    <w:p w14:paraId="4D76F6D8" w14:textId="77777777" w:rsidR="00E32AF1" w:rsidRPr="00DD107B" w:rsidRDefault="00DD107B" w:rsidP="00DD107B">
      <w:pPr>
        <w:spacing w:line="276" w:lineRule="auto"/>
        <w:jc w:val="both"/>
        <w:rPr>
          <w:rFonts w:ascii="Arial" w:hAnsi="Arial" w:cs="Arial"/>
          <w:sz w:val="20"/>
          <w:szCs w:val="20"/>
        </w:rPr>
      </w:pPr>
      <w:r>
        <w:rPr>
          <w:rFonts w:ascii="Arial" w:hAnsi="Arial" w:cs="Arial"/>
          <w:sz w:val="20"/>
          <w:szCs w:val="20"/>
        </w:rPr>
        <w:t>A</w:t>
      </w:r>
      <w:r w:rsidR="00E32AF1" w:rsidRPr="00DD107B">
        <w:rPr>
          <w:rFonts w:ascii="Arial" w:hAnsi="Arial" w:cs="Arial"/>
          <w:sz w:val="20"/>
          <w:szCs w:val="20"/>
        </w:rPr>
        <w:t xml:space="preserve"> taxa de mortalidade decaiu muito nos últimos anos antibioticoterapia a fim de se evitar necrose progressiva do tecido e complicações (5% dos casos). Tais complicações incluem a evolução para osteomielite crônica, ocorrência de fratura patológica, instabilidade articular e alteração na placa epifisária, levando a deformidades secundárias e osteonecrose. Taxa de mortalidade é próxima de zero.</w:t>
      </w:r>
    </w:p>
    <w:p w14:paraId="67E8A358" w14:textId="77777777" w:rsidR="00DD107B" w:rsidRPr="00DD107B" w:rsidRDefault="00E32AF1" w:rsidP="00DD107B">
      <w:pPr>
        <w:pStyle w:val="PargrafodaLista"/>
        <w:numPr>
          <w:ilvl w:val="0"/>
          <w:numId w:val="2"/>
        </w:numPr>
        <w:spacing w:line="276" w:lineRule="auto"/>
        <w:jc w:val="both"/>
        <w:rPr>
          <w:rFonts w:ascii="Arial" w:hAnsi="Arial" w:cs="Arial"/>
          <w:sz w:val="20"/>
          <w:szCs w:val="20"/>
        </w:rPr>
      </w:pPr>
      <w:r w:rsidRPr="00DD107B">
        <w:rPr>
          <w:rFonts w:ascii="Arial" w:hAnsi="Arial" w:cs="Arial"/>
          <w:b/>
          <w:sz w:val="24"/>
          <w:szCs w:val="24"/>
        </w:rPr>
        <w:t>Prognóstico:</w:t>
      </w:r>
      <w:r w:rsidR="00DD107B" w:rsidRPr="00DD107B">
        <w:rPr>
          <w:rFonts w:ascii="Arial" w:hAnsi="Arial" w:cs="Arial"/>
          <w:sz w:val="20"/>
          <w:szCs w:val="20"/>
        </w:rPr>
        <w:t xml:space="preserve"> </w:t>
      </w:r>
    </w:p>
    <w:p w14:paraId="62CF4FDE" w14:textId="77777777" w:rsidR="00E32AF1" w:rsidRPr="00DD107B" w:rsidRDefault="00DD107B" w:rsidP="00DD107B">
      <w:pPr>
        <w:spacing w:line="276" w:lineRule="auto"/>
        <w:jc w:val="both"/>
        <w:rPr>
          <w:rFonts w:ascii="Arial" w:hAnsi="Arial" w:cs="Arial"/>
          <w:sz w:val="20"/>
          <w:szCs w:val="20"/>
        </w:rPr>
      </w:pPr>
      <w:r>
        <w:rPr>
          <w:rFonts w:ascii="Arial" w:hAnsi="Arial" w:cs="Arial"/>
          <w:sz w:val="20"/>
          <w:szCs w:val="20"/>
        </w:rPr>
        <w:t>A</w:t>
      </w:r>
      <w:r w:rsidR="00E32AF1" w:rsidRPr="00DD107B">
        <w:rPr>
          <w:rFonts w:ascii="Arial" w:hAnsi="Arial" w:cs="Arial"/>
          <w:sz w:val="20"/>
          <w:szCs w:val="20"/>
        </w:rPr>
        <w:t xml:space="preserve"> literatura sugere que a melhor evolução do quadro esteja relacionada principalmente ao uso do antibiótico adequado, à ausência de comorbidades e à precocidade no diagnóstico.</w:t>
      </w:r>
    </w:p>
    <w:p w14:paraId="4637DCE0" w14:textId="77777777" w:rsidR="00E32AF1" w:rsidRPr="00DD107B" w:rsidRDefault="00E32AF1" w:rsidP="00DD107B">
      <w:pPr>
        <w:spacing w:line="276" w:lineRule="auto"/>
        <w:jc w:val="both"/>
        <w:rPr>
          <w:rFonts w:ascii="Arial" w:hAnsi="Arial" w:cs="Arial"/>
          <w:sz w:val="20"/>
          <w:szCs w:val="20"/>
        </w:rPr>
      </w:pPr>
    </w:p>
    <w:tbl>
      <w:tblPr>
        <w:tblStyle w:val="Tabelacomgrade"/>
        <w:tblpPr w:leftFromText="141" w:rightFromText="141" w:vertAnchor="text" w:horzAnchor="margin" w:tblpY="1"/>
        <w:tblW w:w="0" w:type="auto"/>
        <w:tblLook w:val="04A0" w:firstRow="1" w:lastRow="0" w:firstColumn="1" w:lastColumn="0" w:noHBand="0" w:noVBand="1"/>
      </w:tblPr>
      <w:tblGrid>
        <w:gridCol w:w="2125"/>
        <w:gridCol w:w="2120"/>
        <w:gridCol w:w="2077"/>
        <w:gridCol w:w="2172"/>
      </w:tblGrid>
      <w:tr w:rsidR="00E32AF1" w:rsidRPr="00DD107B" w14:paraId="798E6B81" w14:textId="77777777" w:rsidTr="00283F69">
        <w:trPr>
          <w:trHeight w:val="386"/>
        </w:trPr>
        <w:tc>
          <w:tcPr>
            <w:tcW w:w="2179" w:type="dxa"/>
          </w:tcPr>
          <w:p w14:paraId="6821666C"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Drogas IV</w:t>
            </w:r>
          </w:p>
        </w:tc>
        <w:tc>
          <w:tcPr>
            <w:tcW w:w="2179" w:type="dxa"/>
          </w:tcPr>
          <w:p w14:paraId="64633066"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Doses (mg/Kg/dia)</w:t>
            </w:r>
          </w:p>
        </w:tc>
        <w:tc>
          <w:tcPr>
            <w:tcW w:w="2129" w:type="dxa"/>
          </w:tcPr>
          <w:p w14:paraId="4C4499DD"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Intervalo(em horas)</w:t>
            </w:r>
          </w:p>
        </w:tc>
        <w:tc>
          <w:tcPr>
            <w:tcW w:w="2229" w:type="dxa"/>
          </w:tcPr>
          <w:p w14:paraId="7ECF80D5"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Dose máxima</w:t>
            </w:r>
          </w:p>
        </w:tc>
      </w:tr>
      <w:tr w:rsidR="00E32AF1" w:rsidRPr="00DD107B" w14:paraId="39A4B60E" w14:textId="77777777" w:rsidTr="00283F69">
        <w:trPr>
          <w:trHeight w:val="410"/>
        </w:trPr>
        <w:tc>
          <w:tcPr>
            <w:tcW w:w="2179" w:type="dxa"/>
          </w:tcPr>
          <w:p w14:paraId="67BF2514"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Amicacina</w:t>
            </w:r>
          </w:p>
        </w:tc>
        <w:tc>
          <w:tcPr>
            <w:tcW w:w="2179" w:type="dxa"/>
          </w:tcPr>
          <w:p w14:paraId="2AFE5BCA"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15 - 22</w:t>
            </w:r>
          </w:p>
        </w:tc>
        <w:tc>
          <w:tcPr>
            <w:tcW w:w="2129" w:type="dxa"/>
          </w:tcPr>
          <w:p w14:paraId="7B1420F5"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24/24</w:t>
            </w:r>
          </w:p>
        </w:tc>
        <w:tc>
          <w:tcPr>
            <w:tcW w:w="2229" w:type="dxa"/>
          </w:tcPr>
          <w:p w14:paraId="4E414945"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1.500 mg/dia</w:t>
            </w:r>
          </w:p>
        </w:tc>
      </w:tr>
      <w:tr w:rsidR="00E32AF1" w:rsidRPr="00DD107B" w14:paraId="3B31ACA4" w14:textId="77777777" w:rsidTr="00283F69">
        <w:trPr>
          <w:trHeight w:val="410"/>
        </w:trPr>
        <w:tc>
          <w:tcPr>
            <w:tcW w:w="2179" w:type="dxa"/>
          </w:tcPr>
          <w:p w14:paraId="7EE916B1"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Gentamicina</w:t>
            </w:r>
          </w:p>
        </w:tc>
        <w:tc>
          <w:tcPr>
            <w:tcW w:w="2179" w:type="dxa"/>
          </w:tcPr>
          <w:p w14:paraId="4F187BD0"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5 - 7,5</w:t>
            </w:r>
          </w:p>
        </w:tc>
        <w:tc>
          <w:tcPr>
            <w:tcW w:w="2129" w:type="dxa"/>
          </w:tcPr>
          <w:p w14:paraId="7952A99C"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24/24</w:t>
            </w:r>
          </w:p>
        </w:tc>
        <w:tc>
          <w:tcPr>
            <w:tcW w:w="2229" w:type="dxa"/>
          </w:tcPr>
          <w:p w14:paraId="7341B7B6"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300 mg/dia</w:t>
            </w:r>
          </w:p>
        </w:tc>
      </w:tr>
      <w:tr w:rsidR="00E32AF1" w:rsidRPr="00DD107B" w14:paraId="33448BB3" w14:textId="77777777" w:rsidTr="00283F69">
        <w:trPr>
          <w:trHeight w:val="386"/>
        </w:trPr>
        <w:tc>
          <w:tcPr>
            <w:tcW w:w="2179" w:type="dxa"/>
          </w:tcPr>
          <w:p w14:paraId="7BB8DC3A"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Ceftriaxona</w:t>
            </w:r>
          </w:p>
        </w:tc>
        <w:tc>
          <w:tcPr>
            <w:tcW w:w="2179" w:type="dxa"/>
          </w:tcPr>
          <w:p w14:paraId="7DE5964D"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100</w:t>
            </w:r>
          </w:p>
        </w:tc>
        <w:tc>
          <w:tcPr>
            <w:tcW w:w="2129" w:type="dxa"/>
          </w:tcPr>
          <w:p w14:paraId="6BC40447"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24/24</w:t>
            </w:r>
          </w:p>
        </w:tc>
        <w:tc>
          <w:tcPr>
            <w:tcW w:w="2229" w:type="dxa"/>
          </w:tcPr>
          <w:p w14:paraId="59E4FED1"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3 g/dia</w:t>
            </w:r>
          </w:p>
          <w:p w14:paraId="41108ED6"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(adolescente grave: 4 g/dia)</w:t>
            </w:r>
          </w:p>
        </w:tc>
      </w:tr>
      <w:tr w:rsidR="00E32AF1" w:rsidRPr="00DD107B" w14:paraId="3924A051" w14:textId="77777777" w:rsidTr="00283F69">
        <w:trPr>
          <w:trHeight w:val="410"/>
        </w:trPr>
        <w:tc>
          <w:tcPr>
            <w:tcW w:w="2179" w:type="dxa"/>
          </w:tcPr>
          <w:p w14:paraId="67B01157"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Oxacilina</w:t>
            </w:r>
          </w:p>
        </w:tc>
        <w:tc>
          <w:tcPr>
            <w:tcW w:w="2179" w:type="dxa"/>
          </w:tcPr>
          <w:p w14:paraId="68962319"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200</w:t>
            </w:r>
          </w:p>
        </w:tc>
        <w:tc>
          <w:tcPr>
            <w:tcW w:w="2129" w:type="dxa"/>
          </w:tcPr>
          <w:p w14:paraId="62CD76E2"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6/6</w:t>
            </w:r>
          </w:p>
        </w:tc>
        <w:tc>
          <w:tcPr>
            <w:tcW w:w="2229" w:type="dxa"/>
          </w:tcPr>
          <w:p w14:paraId="7F569F27"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6 g/dia</w:t>
            </w:r>
          </w:p>
        </w:tc>
      </w:tr>
      <w:tr w:rsidR="00E32AF1" w:rsidRPr="00DD107B" w14:paraId="10EC8706" w14:textId="77777777" w:rsidTr="00283F69">
        <w:trPr>
          <w:trHeight w:val="386"/>
        </w:trPr>
        <w:tc>
          <w:tcPr>
            <w:tcW w:w="2179" w:type="dxa"/>
          </w:tcPr>
          <w:p w14:paraId="4D2714B9"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Cefazolina</w:t>
            </w:r>
          </w:p>
        </w:tc>
        <w:tc>
          <w:tcPr>
            <w:tcW w:w="2179" w:type="dxa"/>
          </w:tcPr>
          <w:p w14:paraId="6F52DA1E"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50 - 100</w:t>
            </w:r>
          </w:p>
        </w:tc>
        <w:tc>
          <w:tcPr>
            <w:tcW w:w="2129" w:type="dxa"/>
          </w:tcPr>
          <w:p w14:paraId="588693BA"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6/6</w:t>
            </w:r>
          </w:p>
        </w:tc>
        <w:tc>
          <w:tcPr>
            <w:tcW w:w="2229" w:type="dxa"/>
          </w:tcPr>
          <w:p w14:paraId="3DDE36E3"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6 g/dia</w:t>
            </w:r>
          </w:p>
        </w:tc>
      </w:tr>
      <w:tr w:rsidR="00E32AF1" w:rsidRPr="00DD107B" w14:paraId="6FB7B0D6" w14:textId="77777777" w:rsidTr="00283F69">
        <w:trPr>
          <w:trHeight w:val="410"/>
        </w:trPr>
        <w:tc>
          <w:tcPr>
            <w:tcW w:w="2179" w:type="dxa"/>
          </w:tcPr>
          <w:p w14:paraId="5D049B83"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Clindamicina</w:t>
            </w:r>
          </w:p>
        </w:tc>
        <w:tc>
          <w:tcPr>
            <w:tcW w:w="2179" w:type="dxa"/>
          </w:tcPr>
          <w:p w14:paraId="14CEE27C"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40</w:t>
            </w:r>
          </w:p>
        </w:tc>
        <w:tc>
          <w:tcPr>
            <w:tcW w:w="2129" w:type="dxa"/>
          </w:tcPr>
          <w:p w14:paraId="5FD3661E"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6/6h</w:t>
            </w:r>
          </w:p>
        </w:tc>
        <w:tc>
          <w:tcPr>
            <w:tcW w:w="2229" w:type="dxa"/>
          </w:tcPr>
          <w:p w14:paraId="4C017A25"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4,8 g/dia</w:t>
            </w:r>
          </w:p>
        </w:tc>
      </w:tr>
      <w:tr w:rsidR="00E32AF1" w:rsidRPr="00DD107B" w14:paraId="2BE57299" w14:textId="77777777" w:rsidTr="00283F69">
        <w:trPr>
          <w:trHeight w:val="386"/>
        </w:trPr>
        <w:tc>
          <w:tcPr>
            <w:tcW w:w="2179" w:type="dxa"/>
          </w:tcPr>
          <w:p w14:paraId="7507E1F2"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Vancomicina</w:t>
            </w:r>
          </w:p>
        </w:tc>
        <w:tc>
          <w:tcPr>
            <w:tcW w:w="2179" w:type="dxa"/>
          </w:tcPr>
          <w:p w14:paraId="4A7409CF"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40 - 60</w:t>
            </w:r>
          </w:p>
        </w:tc>
        <w:tc>
          <w:tcPr>
            <w:tcW w:w="2129" w:type="dxa"/>
          </w:tcPr>
          <w:p w14:paraId="60A91EA4"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6/6h</w:t>
            </w:r>
          </w:p>
        </w:tc>
        <w:tc>
          <w:tcPr>
            <w:tcW w:w="2229" w:type="dxa"/>
          </w:tcPr>
          <w:p w14:paraId="53096E9E"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2 g/dia</w:t>
            </w:r>
          </w:p>
        </w:tc>
      </w:tr>
      <w:tr w:rsidR="00E32AF1" w:rsidRPr="00DD107B" w14:paraId="7C8695C2" w14:textId="77777777" w:rsidTr="00283F69">
        <w:trPr>
          <w:trHeight w:val="410"/>
        </w:trPr>
        <w:tc>
          <w:tcPr>
            <w:tcW w:w="2179" w:type="dxa"/>
          </w:tcPr>
          <w:p w14:paraId="1C6A3133"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Drogas VO</w:t>
            </w:r>
          </w:p>
        </w:tc>
        <w:tc>
          <w:tcPr>
            <w:tcW w:w="2179" w:type="dxa"/>
          </w:tcPr>
          <w:p w14:paraId="30EE2E4C" w14:textId="77777777" w:rsidR="00E32AF1" w:rsidRPr="00DD107B" w:rsidRDefault="00E32AF1" w:rsidP="00DD107B">
            <w:pPr>
              <w:spacing w:line="276" w:lineRule="auto"/>
              <w:jc w:val="both"/>
              <w:rPr>
                <w:rFonts w:ascii="Arial" w:hAnsi="Arial" w:cs="Arial"/>
                <w:sz w:val="18"/>
                <w:szCs w:val="18"/>
              </w:rPr>
            </w:pPr>
          </w:p>
        </w:tc>
        <w:tc>
          <w:tcPr>
            <w:tcW w:w="2129" w:type="dxa"/>
          </w:tcPr>
          <w:p w14:paraId="3C72D900" w14:textId="77777777" w:rsidR="00E32AF1" w:rsidRPr="00DD107B" w:rsidRDefault="00E32AF1" w:rsidP="00DD107B">
            <w:pPr>
              <w:spacing w:line="276" w:lineRule="auto"/>
              <w:jc w:val="both"/>
              <w:rPr>
                <w:rFonts w:ascii="Arial" w:hAnsi="Arial" w:cs="Arial"/>
                <w:sz w:val="18"/>
                <w:szCs w:val="18"/>
              </w:rPr>
            </w:pPr>
          </w:p>
        </w:tc>
        <w:tc>
          <w:tcPr>
            <w:tcW w:w="2229" w:type="dxa"/>
          </w:tcPr>
          <w:p w14:paraId="1CFBA21B" w14:textId="77777777" w:rsidR="00E32AF1" w:rsidRPr="00DD107B" w:rsidRDefault="00E32AF1" w:rsidP="00DD107B">
            <w:pPr>
              <w:spacing w:line="276" w:lineRule="auto"/>
              <w:jc w:val="both"/>
              <w:rPr>
                <w:rFonts w:ascii="Arial" w:hAnsi="Arial" w:cs="Arial"/>
                <w:sz w:val="18"/>
                <w:szCs w:val="18"/>
              </w:rPr>
            </w:pPr>
          </w:p>
        </w:tc>
      </w:tr>
      <w:tr w:rsidR="00E32AF1" w:rsidRPr="00DD107B" w14:paraId="6FAD812F" w14:textId="77777777" w:rsidTr="00283F69">
        <w:trPr>
          <w:trHeight w:val="386"/>
        </w:trPr>
        <w:tc>
          <w:tcPr>
            <w:tcW w:w="2179" w:type="dxa"/>
          </w:tcPr>
          <w:p w14:paraId="522C3D45"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Cefalexina</w:t>
            </w:r>
          </w:p>
        </w:tc>
        <w:tc>
          <w:tcPr>
            <w:tcW w:w="2179" w:type="dxa"/>
          </w:tcPr>
          <w:p w14:paraId="06375B68"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50 - 100</w:t>
            </w:r>
          </w:p>
        </w:tc>
        <w:tc>
          <w:tcPr>
            <w:tcW w:w="2129" w:type="dxa"/>
          </w:tcPr>
          <w:p w14:paraId="14BA685F"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6/6h</w:t>
            </w:r>
          </w:p>
        </w:tc>
        <w:tc>
          <w:tcPr>
            <w:tcW w:w="2229" w:type="dxa"/>
          </w:tcPr>
          <w:p w14:paraId="4E42B1D8"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4 g/dia</w:t>
            </w:r>
          </w:p>
        </w:tc>
      </w:tr>
      <w:tr w:rsidR="00E32AF1" w:rsidRPr="00DD107B" w14:paraId="3D359D54" w14:textId="77777777" w:rsidTr="00283F69">
        <w:trPr>
          <w:trHeight w:val="410"/>
        </w:trPr>
        <w:tc>
          <w:tcPr>
            <w:tcW w:w="2179" w:type="dxa"/>
          </w:tcPr>
          <w:p w14:paraId="6E41E07B"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Cefadroxila</w:t>
            </w:r>
          </w:p>
        </w:tc>
        <w:tc>
          <w:tcPr>
            <w:tcW w:w="2179" w:type="dxa"/>
          </w:tcPr>
          <w:p w14:paraId="704DCAFD"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25 - 30</w:t>
            </w:r>
          </w:p>
        </w:tc>
        <w:tc>
          <w:tcPr>
            <w:tcW w:w="2129" w:type="dxa"/>
          </w:tcPr>
          <w:p w14:paraId="737132EF"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12/12</w:t>
            </w:r>
          </w:p>
        </w:tc>
        <w:tc>
          <w:tcPr>
            <w:tcW w:w="2229" w:type="dxa"/>
          </w:tcPr>
          <w:p w14:paraId="58BBF1BC"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2 g/dia</w:t>
            </w:r>
          </w:p>
        </w:tc>
      </w:tr>
      <w:tr w:rsidR="00E32AF1" w:rsidRPr="00DD107B" w14:paraId="3B206BAF" w14:textId="77777777" w:rsidTr="00283F69">
        <w:trPr>
          <w:trHeight w:val="410"/>
        </w:trPr>
        <w:tc>
          <w:tcPr>
            <w:tcW w:w="2179" w:type="dxa"/>
          </w:tcPr>
          <w:p w14:paraId="4CE165CC"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Clindamicina</w:t>
            </w:r>
          </w:p>
        </w:tc>
        <w:tc>
          <w:tcPr>
            <w:tcW w:w="2179" w:type="dxa"/>
          </w:tcPr>
          <w:p w14:paraId="7E0B2B7B"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20 - 30</w:t>
            </w:r>
          </w:p>
        </w:tc>
        <w:tc>
          <w:tcPr>
            <w:tcW w:w="2129" w:type="dxa"/>
          </w:tcPr>
          <w:p w14:paraId="0D900EDD"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8/8h</w:t>
            </w:r>
          </w:p>
        </w:tc>
        <w:tc>
          <w:tcPr>
            <w:tcW w:w="2229" w:type="dxa"/>
          </w:tcPr>
          <w:p w14:paraId="6A96ED74" w14:textId="77777777" w:rsidR="00E32AF1" w:rsidRPr="00DD107B" w:rsidRDefault="00E32AF1" w:rsidP="00DD107B">
            <w:pPr>
              <w:spacing w:line="276" w:lineRule="auto"/>
              <w:jc w:val="both"/>
              <w:rPr>
                <w:rFonts w:ascii="Arial" w:hAnsi="Arial" w:cs="Arial"/>
                <w:sz w:val="18"/>
                <w:szCs w:val="18"/>
              </w:rPr>
            </w:pPr>
            <w:r w:rsidRPr="00DD107B">
              <w:rPr>
                <w:rFonts w:ascii="Arial" w:hAnsi="Arial" w:cs="Arial"/>
                <w:sz w:val="18"/>
                <w:szCs w:val="18"/>
              </w:rPr>
              <w:t>2 g/dia</w:t>
            </w:r>
          </w:p>
        </w:tc>
      </w:tr>
    </w:tbl>
    <w:p w14:paraId="65CFEBAB" w14:textId="77777777" w:rsidR="00E32AF1" w:rsidRPr="00DD107B" w:rsidRDefault="00E32AF1" w:rsidP="00DD107B">
      <w:pPr>
        <w:spacing w:line="276" w:lineRule="auto"/>
        <w:jc w:val="both"/>
        <w:rPr>
          <w:rFonts w:ascii="Arial" w:hAnsi="Arial" w:cs="Arial"/>
          <w:sz w:val="20"/>
          <w:szCs w:val="20"/>
        </w:rPr>
      </w:pPr>
    </w:p>
    <w:p w14:paraId="7490E9D1" w14:textId="77777777" w:rsidR="00DD107B" w:rsidRDefault="00DD107B" w:rsidP="00DD107B">
      <w:pPr>
        <w:spacing w:line="276" w:lineRule="auto"/>
        <w:jc w:val="both"/>
        <w:rPr>
          <w:rFonts w:ascii="Arial" w:hAnsi="Arial" w:cs="Arial"/>
          <w:sz w:val="20"/>
          <w:szCs w:val="20"/>
        </w:rPr>
      </w:pPr>
    </w:p>
    <w:p w14:paraId="7666E9F0" w14:textId="77777777" w:rsidR="00DD107B" w:rsidRDefault="00DD107B" w:rsidP="00DD107B">
      <w:pPr>
        <w:spacing w:line="276" w:lineRule="auto"/>
        <w:jc w:val="both"/>
        <w:rPr>
          <w:rFonts w:ascii="Arial" w:hAnsi="Arial" w:cs="Arial"/>
          <w:sz w:val="20"/>
          <w:szCs w:val="20"/>
        </w:rPr>
      </w:pPr>
    </w:p>
    <w:p w14:paraId="6529957F" w14:textId="77777777" w:rsidR="00E32AF1" w:rsidRPr="00DD107B" w:rsidRDefault="00E32AF1" w:rsidP="00DD107B">
      <w:pPr>
        <w:pStyle w:val="PargrafodaLista"/>
        <w:numPr>
          <w:ilvl w:val="0"/>
          <w:numId w:val="2"/>
        </w:numPr>
        <w:spacing w:line="276" w:lineRule="auto"/>
        <w:jc w:val="both"/>
        <w:rPr>
          <w:rFonts w:ascii="Arial" w:hAnsi="Arial" w:cs="Arial"/>
          <w:b/>
          <w:sz w:val="24"/>
          <w:szCs w:val="24"/>
        </w:rPr>
      </w:pPr>
      <w:r w:rsidRPr="00DD107B">
        <w:rPr>
          <w:rFonts w:ascii="Arial" w:hAnsi="Arial" w:cs="Arial"/>
          <w:b/>
          <w:sz w:val="24"/>
          <w:szCs w:val="24"/>
        </w:rPr>
        <w:lastRenderedPageBreak/>
        <w:t>Referências bibliográficas:</w:t>
      </w:r>
    </w:p>
    <w:p w14:paraId="075905FA" w14:textId="77777777" w:rsidR="00E32AF1" w:rsidRPr="00DD107B" w:rsidRDefault="00E32AF1" w:rsidP="00DD107B">
      <w:pPr>
        <w:spacing w:line="276" w:lineRule="auto"/>
        <w:jc w:val="both"/>
        <w:rPr>
          <w:rFonts w:ascii="Arial" w:hAnsi="Arial" w:cs="Arial"/>
          <w:sz w:val="20"/>
          <w:szCs w:val="20"/>
        </w:rPr>
      </w:pPr>
      <w:r w:rsidRPr="00DD107B">
        <w:rPr>
          <w:rFonts w:ascii="Arial" w:hAnsi="Arial" w:cs="Arial"/>
          <w:sz w:val="20"/>
          <w:szCs w:val="20"/>
        </w:rPr>
        <w:t>1-Cunha LAM, Oliveira Filho OBA, Ohara G, Skaf AY. Osteomielite Hematogênica Aguda. Sociedade Brasileira de Ortopedia e Traumatologia, Projeto Diretrizes, 2007.</w:t>
      </w:r>
    </w:p>
    <w:p w14:paraId="7D46FD51" w14:textId="77777777" w:rsidR="00E32AF1" w:rsidRPr="00DD107B" w:rsidRDefault="00E32AF1" w:rsidP="00DD107B">
      <w:pPr>
        <w:spacing w:line="276" w:lineRule="auto"/>
        <w:jc w:val="both"/>
        <w:rPr>
          <w:rFonts w:ascii="Arial" w:hAnsi="Arial" w:cs="Arial"/>
          <w:sz w:val="20"/>
          <w:szCs w:val="20"/>
        </w:rPr>
      </w:pPr>
      <w:r w:rsidRPr="00DD107B">
        <w:rPr>
          <w:rFonts w:ascii="Arial" w:hAnsi="Arial" w:cs="Arial"/>
          <w:sz w:val="20"/>
          <w:szCs w:val="20"/>
        </w:rPr>
        <w:t>2-Puccini PF, Ferrarini MAG, Iazzett AV. Osteomielite hematogênica aguda em Pediatria: análise de casos atendidos em hospital universitário. Rev Paul Pediatr 2012;30(3):353-8.</w:t>
      </w:r>
    </w:p>
    <w:p w14:paraId="277100CB" w14:textId="77777777" w:rsidR="00E32AF1" w:rsidRPr="00DD107B" w:rsidRDefault="00E32AF1" w:rsidP="00DD107B">
      <w:pPr>
        <w:spacing w:line="276" w:lineRule="auto"/>
        <w:jc w:val="both"/>
        <w:rPr>
          <w:rFonts w:ascii="Arial" w:hAnsi="Arial" w:cs="Arial"/>
          <w:sz w:val="20"/>
          <w:szCs w:val="20"/>
        </w:rPr>
      </w:pPr>
      <w:r w:rsidRPr="00DD107B">
        <w:rPr>
          <w:rFonts w:ascii="Arial" w:hAnsi="Arial" w:cs="Arial"/>
          <w:sz w:val="20"/>
          <w:szCs w:val="20"/>
        </w:rPr>
        <w:t>3-Pereira RA. Osteomielite aguda na infância, revisão da literatura. Universidade Estadual do Sudoeste da Bahia, 2015.</w:t>
      </w:r>
    </w:p>
    <w:p w14:paraId="353822AB" w14:textId="77777777" w:rsidR="00E32AF1" w:rsidRPr="00DD107B" w:rsidRDefault="00E32AF1" w:rsidP="00DD107B">
      <w:pPr>
        <w:spacing w:line="276" w:lineRule="auto"/>
        <w:jc w:val="both"/>
        <w:rPr>
          <w:rFonts w:ascii="Arial" w:hAnsi="Arial" w:cs="Arial"/>
          <w:sz w:val="20"/>
          <w:szCs w:val="20"/>
        </w:rPr>
      </w:pPr>
      <w:r w:rsidRPr="00DD107B">
        <w:rPr>
          <w:rFonts w:ascii="Arial" w:hAnsi="Arial" w:cs="Arial"/>
          <w:sz w:val="20"/>
          <w:szCs w:val="20"/>
        </w:rPr>
        <w:t>4-Moreira Jr. Infecções osteoarticulares em pediatria, revisão.  Pediatria moderna, Dez 2014  V50 N12: 560-5.</w:t>
      </w:r>
    </w:p>
    <w:p w14:paraId="47202C99" w14:textId="655FEE92" w:rsidR="00E32AF1" w:rsidRPr="00DD107B" w:rsidRDefault="00E32AF1" w:rsidP="008F4BF5">
      <w:pPr>
        <w:spacing w:line="276" w:lineRule="auto"/>
        <w:jc w:val="both"/>
        <w:rPr>
          <w:rFonts w:ascii="Arial" w:hAnsi="Arial" w:cs="Arial"/>
          <w:sz w:val="20"/>
          <w:szCs w:val="20"/>
        </w:rPr>
      </w:pPr>
      <w:r w:rsidRPr="008F4BF5">
        <w:rPr>
          <w:rFonts w:ascii="Arial" w:hAnsi="Arial" w:cs="Arial"/>
          <w:bCs/>
          <w:sz w:val="20"/>
          <w:szCs w:val="20"/>
        </w:rPr>
        <w:t>Responsáve</w:t>
      </w:r>
      <w:r w:rsidR="008F4BF5">
        <w:rPr>
          <w:rFonts w:ascii="Arial" w:hAnsi="Arial" w:cs="Arial"/>
          <w:bCs/>
          <w:sz w:val="20"/>
          <w:szCs w:val="20"/>
        </w:rPr>
        <w:t>is</w:t>
      </w:r>
      <w:r w:rsidRPr="008F4BF5">
        <w:rPr>
          <w:rFonts w:ascii="Arial" w:hAnsi="Arial" w:cs="Arial"/>
          <w:bCs/>
          <w:sz w:val="20"/>
          <w:szCs w:val="20"/>
        </w:rPr>
        <w:t xml:space="preserve"> pela </w:t>
      </w:r>
      <w:r w:rsidR="008F4BF5">
        <w:rPr>
          <w:rFonts w:ascii="Arial" w:hAnsi="Arial" w:cs="Arial"/>
          <w:bCs/>
          <w:sz w:val="20"/>
          <w:szCs w:val="20"/>
        </w:rPr>
        <w:t xml:space="preserve">elaboração da </w:t>
      </w:r>
      <w:r w:rsidRPr="008F4BF5">
        <w:rPr>
          <w:rFonts w:ascii="Arial" w:hAnsi="Arial" w:cs="Arial"/>
          <w:bCs/>
          <w:sz w:val="20"/>
          <w:szCs w:val="20"/>
        </w:rPr>
        <w:t xml:space="preserve">rotina: </w:t>
      </w:r>
      <w:r w:rsidRPr="00DD107B">
        <w:rPr>
          <w:rFonts w:ascii="Arial" w:hAnsi="Arial" w:cs="Arial"/>
          <w:sz w:val="20"/>
          <w:szCs w:val="20"/>
        </w:rPr>
        <w:t>Dr. Fabrício Pereira Madureira</w:t>
      </w:r>
      <w:r w:rsidR="008F4BF5">
        <w:rPr>
          <w:rFonts w:ascii="Arial" w:hAnsi="Arial" w:cs="Arial"/>
          <w:sz w:val="20"/>
          <w:szCs w:val="20"/>
        </w:rPr>
        <w:t xml:space="preserve"> e Dra. Dania Lemos Dionízio</w:t>
      </w:r>
    </w:p>
    <w:p w14:paraId="385BC90B" w14:textId="77777777" w:rsidR="00E32AF1" w:rsidRPr="00DD107B" w:rsidRDefault="00E32AF1" w:rsidP="00DD107B">
      <w:pPr>
        <w:spacing w:line="276" w:lineRule="auto"/>
        <w:jc w:val="both"/>
        <w:rPr>
          <w:rFonts w:ascii="Arial" w:hAnsi="Arial" w:cs="Arial"/>
          <w:sz w:val="20"/>
          <w:szCs w:val="20"/>
        </w:rPr>
      </w:pPr>
    </w:p>
    <w:p w14:paraId="343C6E35" w14:textId="77777777" w:rsidR="00E32AF1" w:rsidRPr="00DD107B" w:rsidRDefault="00E32AF1" w:rsidP="00DD107B">
      <w:pPr>
        <w:autoSpaceDE w:val="0"/>
        <w:autoSpaceDN w:val="0"/>
        <w:adjustRightInd w:val="0"/>
        <w:spacing w:after="0" w:line="276" w:lineRule="auto"/>
        <w:jc w:val="both"/>
        <w:rPr>
          <w:rFonts w:ascii="Arial" w:hAnsi="Arial" w:cs="Arial"/>
          <w:sz w:val="20"/>
          <w:szCs w:val="20"/>
        </w:rPr>
      </w:pPr>
    </w:p>
    <w:p w14:paraId="0D5CBE79" w14:textId="77777777" w:rsidR="005F22E3" w:rsidRPr="00DD107B" w:rsidRDefault="008F4BF5" w:rsidP="00DD107B">
      <w:pPr>
        <w:spacing w:line="276" w:lineRule="auto"/>
        <w:jc w:val="both"/>
        <w:rPr>
          <w:rFonts w:ascii="Arial" w:hAnsi="Arial" w:cs="Arial"/>
          <w:sz w:val="20"/>
          <w:szCs w:val="20"/>
        </w:rPr>
      </w:pPr>
    </w:p>
    <w:sectPr w:rsidR="005F22E3" w:rsidRPr="00DD10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2E2F63"/>
    <w:multiLevelType w:val="hybridMultilevel"/>
    <w:tmpl w:val="8AEE5DF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55D75ECA"/>
    <w:multiLevelType w:val="hybridMultilevel"/>
    <w:tmpl w:val="DECA8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4AA"/>
    <w:rsid w:val="001764AA"/>
    <w:rsid w:val="002A36A8"/>
    <w:rsid w:val="006548BF"/>
    <w:rsid w:val="008F4BF5"/>
    <w:rsid w:val="00DD107B"/>
    <w:rsid w:val="00E32A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668B"/>
  <w15:chartTrackingRefBased/>
  <w15:docId w15:val="{EBECCB39-B84B-4448-8653-3D00BFD8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A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6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D1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952</Words>
  <Characters>5145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ROCHANETO</dc:creator>
  <cp:keywords/>
  <dc:description/>
  <cp:lastModifiedBy>RODOLFO ROCHANETO</cp:lastModifiedBy>
  <cp:revision>4</cp:revision>
  <dcterms:created xsi:type="dcterms:W3CDTF">2018-08-02T22:29:00Z</dcterms:created>
  <dcterms:modified xsi:type="dcterms:W3CDTF">2020-05-18T03:02:00Z</dcterms:modified>
</cp:coreProperties>
</file>