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AA666" w14:textId="77777777" w:rsidR="0015623F" w:rsidRPr="0070569D" w:rsidRDefault="0015623F" w:rsidP="0070569D">
      <w:pPr>
        <w:spacing w:line="276" w:lineRule="auto"/>
        <w:rPr>
          <w:rFonts w:ascii="Arial" w:hAnsi="Arial" w:cs="Arial"/>
          <w:bCs/>
          <w:sz w:val="28"/>
          <w:szCs w:val="28"/>
        </w:rPr>
      </w:pPr>
      <w:r w:rsidRPr="0070569D">
        <w:rPr>
          <w:rFonts w:ascii="Arial" w:hAnsi="Arial" w:cs="Arial"/>
          <w:bCs/>
          <w:sz w:val="28"/>
          <w:szCs w:val="28"/>
        </w:rPr>
        <w:t>PÚRPURA DE HENOCH-SCHÖNLEIN (PHS)</w:t>
      </w:r>
    </w:p>
    <w:p w14:paraId="513E7F0E" w14:textId="77777777" w:rsidR="00BB46BD" w:rsidRPr="00BB46BD" w:rsidRDefault="0015623F" w:rsidP="00BB46BD">
      <w:pPr>
        <w:pStyle w:val="PargrafodaLista"/>
        <w:numPr>
          <w:ilvl w:val="0"/>
          <w:numId w:val="20"/>
        </w:numPr>
        <w:spacing w:line="276" w:lineRule="auto"/>
        <w:jc w:val="both"/>
        <w:rPr>
          <w:rFonts w:ascii="Arial" w:hAnsi="Arial" w:cs="Arial"/>
          <w:sz w:val="20"/>
          <w:szCs w:val="20"/>
        </w:rPr>
      </w:pPr>
      <w:r w:rsidRPr="00BB46BD">
        <w:rPr>
          <w:rFonts w:ascii="Arial" w:hAnsi="Arial" w:cs="Arial"/>
          <w:b/>
          <w:sz w:val="24"/>
          <w:szCs w:val="24"/>
        </w:rPr>
        <w:t xml:space="preserve">Conceito: </w:t>
      </w:r>
    </w:p>
    <w:p w14:paraId="659D1A6B" w14:textId="77777777" w:rsidR="0015623F" w:rsidRPr="00BB46BD" w:rsidRDefault="00BB46BD" w:rsidP="00BB46BD">
      <w:pPr>
        <w:spacing w:line="276" w:lineRule="auto"/>
        <w:jc w:val="both"/>
        <w:rPr>
          <w:rFonts w:ascii="Arial" w:hAnsi="Arial" w:cs="Arial"/>
          <w:sz w:val="20"/>
          <w:szCs w:val="20"/>
        </w:rPr>
      </w:pPr>
      <w:r w:rsidRPr="00BB46BD">
        <w:rPr>
          <w:rFonts w:ascii="Arial" w:hAnsi="Arial" w:cs="Arial"/>
          <w:sz w:val="20"/>
          <w:szCs w:val="20"/>
        </w:rPr>
        <w:t>T</w:t>
      </w:r>
      <w:r w:rsidR="0015623F" w:rsidRPr="00BB46BD">
        <w:rPr>
          <w:rFonts w:ascii="Arial" w:hAnsi="Arial" w:cs="Arial"/>
          <w:sz w:val="20"/>
          <w:szCs w:val="20"/>
        </w:rPr>
        <w:t xml:space="preserve">ambém chamada de Púrpura Alérgica ou Púrpura </w:t>
      </w:r>
      <w:proofErr w:type="spellStart"/>
      <w:r w:rsidR="0015623F" w:rsidRPr="00BB46BD">
        <w:rPr>
          <w:rFonts w:ascii="Arial" w:hAnsi="Arial" w:cs="Arial"/>
          <w:sz w:val="20"/>
          <w:szCs w:val="20"/>
        </w:rPr>
        <w:t>Anafilactóide</w:t>
      </w:r>
      <w:proofErr w:type="spellEnd"/>
      <w:r w:rsidR="0015623F" w:rsidRPr="00BB46BD">
        <w:rPr>
          <w:rFonts w:ascii="Arial" w:hAnsi="Arial" w:cs="Arial"/>
          <w:sz w:val="20"/>
          <w:szCs w:val="20"/>
        </w:rPr>
        <w:t xml:space="preserve"> ou Vasculite </w:t>
      </w:r>
      <w:proofErr w:type="spellStart"/>
      <w:r w:rsidR="0015623F" w:rsidRPr="00BB46BD">
        <w:rPr>
          <w:rFonts w:ascii="Arial" w:hAnsi="Arial" w:cs="Arial"/>
          <w:sz w:val="20"/>
          <w:szCs w:val="20"/>
        </w:rPr>
        <w:t>Leucocitoclástica</w:t>
      </w:r>
      <w:proofErr w:type="spellEnd"/>
      <w:r w:rsidR="0015623F" w:rsidRPr="00BB46BD">
        <w:rPr>
          <w:rFonts w:ascii="Arial" w:hAnsi="Arial" w:cs="Arial"/>
          <w:sz w:val="20"/>
          <w:szCs w:val="20"/>
        </w:rPr>
        <w:t xml:space="preserve"> é uma inflamação generalizada de pequenos e médios vasos que afeta principalmente crianças, envolvendo pele, articulações, trato gastrointestinal e rins. O termo </w:t>
      </w:r>
      <w:proofErr w:type="spellStart"/>
      <w:r w:rsidR="0015623F" w:rsidRPr="00BB46BD">
        <w:rPr>
          <w:rFonts w:ascii="Arial" w:hAnsi="Arial" w:cs="Arial"/>
          <w:sz w:val="20"/>
          <w:szCs w:val="20"/>
        </w:rPr>
        <w:t>leucocitoclástica</w:t>
      </w:r>
      <w:proofErr w:type="spellEnd"/>
      <w:r w:rsidR="0015623F" w:rsidRPr="00BB46BD">
        <w:rPr>
          <w:rFonts w:ascii="Arial" w:hAnsi="Arial" w:cs="Arial"/>
          <w:sz w:val="20"/>
          <w:szCs w:val="20"/>
        </w:rPr>
        <w:t xml:space="preserve"> de dá devido ao extravasamento de hemácias em torno dos vasos sanguíneos, sendo fagocitados por leucócitos, levando à necrose </w:t>
      </w:r>
      <w:proofErr w:type="spellStart"/>
      <w:r w:rsidR="0015623F" w:rsidRPr="00BB46BD">
        <w:rPr>
          <w:rFonts w:ascii="Arial" w:hAnsi="Arial" w:cs="Arial"/>
          <w:sz w:val="20"/>
          <w:szCs w:val="20"/>
        </w:rPr>
        <w:t>fibrinóide</w:t>
      </w:r>
      <w:proofErr w:type="spellEnd"/>
      <w:r w:rsidR="0015623F" w:rsidRPr="00BB46BD">
        <w:rPr>
          <w:rFonts w:ascii="Arial" w:hAnsi="Arial" w:cs="Arial"/>
          <w:sz w:val="20"/>
          <w:szCs w:val="20"/>
        </w:rPr>
        <w:t xml:space="preserve"> vascular e perivascular. À microscopia eletrônica são observados espessamentos da membrana basal glomerular de ambos os rins, enquanto à imunofluorescência direta detecta-se deposição de IgA no </w:t>
      </w:r>
      <w:proofErr w:type="spellStart"/>
      <w:r w:rsidR="0015623F" w:rsidRPr="00BB46BD">
        <w:rPr>
          <w:rFonts w:ascii="Arial" w:hAnsi="Arial" w:cs="Arial"/>
          <w:sz w:val="20"/>
          <w:szCs w:val="20"/>
        </w:rPr>
        <w:t>mesângio</w:t>
      </w:r>
      <w:proofErr w:type="spellEnd"/>
      <w:r w:rsidR="0015623F" w:rsidRPr="00BB46BD">
        <w:rPr>
          <w:rFonts w:ascii="Arial" w:hAnsi="Arial" w:cs="Arial"/>
          <w:sz w:val="20"/>
          <w:szCs w:val="20"/>
        </w:rPr>
        <w:t>.</w:t>
      </w:r>
    </w:p>
    <w:p w14:paraId="570B6F02" w14:textId="77777777" w:rsidR="00BB46BD" w:rsidRPr="00BB46BD" w:rsidRDefault="0015623F" w:rsidP="00BB46BD">
      <w:pPr>
        <w:pStyle w:val="PargrafodaLista"/>
        <w:numPr>
          <w:ilvl w:val="0"/>
          <w:numId w:val="20"/>
        </w:numPr>
        <w:spacing w:line="276" w:lineRule="auto"/>
        <w:jc w:val="both"/>
        <w:rPr>
          <w:rFonts w:ascii="Arial" w:hAnsi="Arial" w:cs="Arial"/>
          <w:sz w:val="20"/>
          <w:szCs w:val="20"/>
        </w:rPr>
      </w:pPr>
      <w:r w:rsidRPr="00BB46BD">
        <w:rPr>
          <w:rFonts w:ascii="Arial" w:hAnsi="Arial" w:cs="Arial"/>
          <w:b/>
          <w:sz w:val="24"/>
          <w:szCs w:val="24"/>
        </w:rPr>
        <w:t>Aspectos gerais:</w:t>
      </w:r>
      <w:r w:rsidR="00BB46BD">
        <w:rPr>
          <w:rFonts w:ascii="Arial" w:hAnsi="Arial" w:cs="Arial"/>
          <w:sz w:val="20"/>
          <w:szCs w:val="20"/>
        </w:rPr>
        <w:t xml:space="preserve"> </w:t>
      </w:r>
    </w:p>
    <w:p w14:paraId="6CAE8E65" w14:textId="77777777" w:rsidR="0015623F" w:rsidRPr="00BB46BD" w:rsidRDefault="00BB46BD" w:rsidP="00BB46BD">
      <w:pPr>
        <w:spacing w:line="276" w:lineRule="auto"/>
        <w:jc w:val="both"/>
        <w:rPr>
          <w:rFonts w:ascii="Arial" w:hAnsi="Arial" w:cs="Arial"/>
          <w:sz w:val="20"/>
          <w:szCs w:val="20"/>
        </w:rPr>
      </w:pPr>
      <w:r>
        <w:rPr>
          <w:rFonts w:ascii="Arial" w:hAnsi="Arial" w:cs="Arial"/>
          <w:sz w:val="20"/>
          <w:szCs w:val="20"/>
        </w:rPr>
        <w:t xml:space="preserve">É </w:t>
      </w:r>
      <w:r w:rsidR="0015623F" w:rsidRPr="00BB46BD">
        <w:rPr>
          <w:rFonts w:ascii="Arial" w:hAnsi="Arial" w:cs="Arial"/>
          <w:sz w:val="20"/>
          <w:szCs w:val="20"/>
        </w:rPr>
        <w:t>a vasculite mais frequente da infância, sendo mais comum abaixo dos 15 anos, com pico aos 4 anos e leve predominância do sexo feminino. De etiologia desconhecida, dentre os prováveis fatores desencadeantes já relacionados, as infecções virais do trato respiratório superior ocorrem na metade dos casos. Outros possíveis fatores desencadeantes incluem: infecções estreptocócicas, vacinas, medicamentos, alimentos, picadas de inseto e exposição ao frio.</w:t>
      </w:r>
    </w:p>
    <w:p w14:paraId="7F999D64" w14:textId="77777777" w:rsidR="0015623F" w:rsidRPr="00BB46BD" w:rsidRDefault="0015623F" w:rsidP="00BB46BD">
      <w:pPr>
        <w:pStyle w:val="PargrafodaLista"/>
        <w:numPr>
          <w:ilvl w:val="0"/>
          <w:numId w:val="20"/>
        </w:numPr>
        <w:spacing w:line="276" w:lineRule="auto"/>
        <w:jc w:val="both"/>
        <w:rPr>
          <w:rFonts w:ascii="Arial" w:hAnsi="Arial" w:cs="Arial"/>
          <w:b/>
          <w:sz w:val="24"/>
          <w:szCs w:val="24"/>
        </w:rPr>
      </w:pPr>
      <w:r w:rsidRPr="00BB46BD">
        <w:rPr>
          <w:rFonts w:ascii="Arial" w:hAnsi="Arial" w:cs="Arial"/>
          <w:b/>
          <w:sz w:val="24"/>
          <w:szCs w:val="24"/>
        </w:rPr>
        <w:t>Diagnóstico:</w:t>
      </w:r>
    </w:p>
    <w:p w14:paraId="43380A53" w14:textId="77777777" w:rsidR="0015623F" w:rsidRPr="00BB46BD" w:rsidRDefault="0015623F" w:rsidP="00BB46BD">
      <w:pPr>
        <w:spacing w:line="276" w:lineRule="auto"/>
        <w:jc w:val="both"/>
        <w:rPr>
          <w:rFonts w:ascii="Arial" w:eastAsia="Times New Roman" w:hAnsi="Arial" w:cs="Arial"/>
          <w:bCs/>
          <w:sz w:val="20"/>
          <w:szCs w:val="20"/>
          <w:lang w:eastAsia="pt-BR"/>
        </w:rPr>
      </w:pPr>
      <w:r w:rsidRPr="00BB46BD">
        <w:rPr>
          <w:rFonts w:ascii="Arial" w:eastAsia="Times New Roman" w:hAnsi="Arial" w:cs="Arial"/>
          <w:sz w:val="20"/>
          <w:szCs w:val="20"/>
          <w:lang w:eastAsia="pt-BR"/>
        </w:rPr>
        <w:t>É essencialmente clínico, baseado na presença de dois ou mais dos critérios propostos pelo Colégio Americano de Reumatologia, em crianças com manchas elevadas na pele que não desaparecem com a pressão digital (púrpura palpável). </w:t>
      </w:r>
      <w:r w:rsidRPr="00BB46BD">
        <w:rPr>
          <w:rFonts w:ascii="Arial" w:eastAsia="Times New Roman" w:hAnsi="Arial" w:cs="Arial"/>
          <w:sz w:val="20"/>
          <w:szCs w:val="20"/>
          <w:lang w:eastAsia="pt-BR"/>
        </w:rPr>
        <w:br/>
      </w:r>
      <w:r w:rsidRPr="00BB46BD">
        <w:rPr>
          <w:rFonts w:ascii="Arial" w:eastAsia="Times New Roman" w:hAnsi="Arial" w:cs="Arial"/>
          <w:sz w:val="20"/>
          <w:szCs w:val="20"/>
          <w:lang w:eastAsia="pt-BR"/>
        </w:rPr>
        <w:br/>
      </w:r>
      <w:r w:rsidRPr="00BB46BD">
        <w:rPr>
          <w:rFonts w:ascii="Arial" w:eastAsia="Times New Roman" w:hAnsi="Arial" w:cs="Arial"/>
          <w:bCs/>
          <w:sz w:val="20"/>
          <w:szCs w:val="20"/>
          <w:lang w:eastAsia="pt-BR"/>
        </w:rPr>
        <w:t xml:space="preserve">Critérios do Colégio Americano de Reumatologia para o diagnóstico de púrpura de </w:t>
      </w:r>
      <w:proofErr w:type="spellStart"/>
      <w:r w:rsidRPr="00BB46BD">
        <w:rPr>
          <w:rFonts w:ascii="Arial" w:eastAsia="Times New Roman" w:hAnsi="Arial" w:cs="Arial"/>
          <w:bCs/>
          <w:sz w:val="20"/>
          <w:szCs w:val="20"/>
          <w:lang w:eastAsia="pt-BR"/>
        </w:rPr>
        <w:t>Henoch-Schönlein</w:t>
      </w:r>
      <w:proofErr w:type="spellEnd"/>
    </w:p>
    <w:tbl>
      <w:tblPr>
        <w:tblStyle w:val="Tabelacomgrade"/>
        <w:tblW w:w="8824" w:type="dxa"/>
        <w:tblLook w:val="04A0" w:firstRow="1" w:lastRow="0" w:firstColumn="1" w:lastColumn="0" w:noHBand="0" w:noVBand="1"/>
      </w:tblPr>
      <w:tblGrid>
        <w:gridCol w:w="4412"/>
        <w:gridCol w:w="4412"/>
      </w:tblGrid>
      <w:tr w:rsidR="00B90305" w:rsidRPr="00BB46BD" w14:paraId="1B0A0E20" w14:textId="77777777" w:rsidTr="00283F69">
        <w:trPr>
          <w:trHeight w:val="353"/>
        </w:trPr>
        <w:tc>
          <w:tcPr>
            <w:tcW w:w="4412" w:type="dxa"/>
          </w:tcPr>
          <w:p w14:paraId="57F0FBE0" w14:textId="77777777" w:rsidR="0015623F" w:rsidRPr="00BB46BD" w:rsidRDefault="0015623F" w:rsidP="00BB46BD">
            <w:pPr>
              <w:spacing w:line="276" w:lineRule="auto"/>
              <w:jc w:val="center"/>
              <w:rPr>
                <w:rFonts w:ascii="Arial" w:eastAsia="Times New Roman" w:hAnsi="Arial" w:cs="Arial"/>
                <w:b/>
                <w:sz w:val="18"/>
                <w:szCs w:val="18"/>
                <w:lang w:eastAsia="pt-BR"/>
              </w:rPr>
            </w:pPr>
            <w:r w:rsidRPr="00BB46BD">
              <w:rPr>
                <w:rFonts w:ascii="Arial" w:eastAsia="Times New Roman" w:hAnsi="Arial" w:cs="Arial"/>
                <w:b/>
                <w:sz w:val="18"/>
                <w:szCs w:val="18"/>
                <w:lang w:eastAsia="pt-BR"/>
              </w:rPr>
              <w:t>Critérios</w:t>
            </w:r>
          </w:p>
        </w:tc>
        <w:tc>
          <w:tcPr>
            <w:tcW w:w="4412" w:type="dxa"/>
          </w:tcPr>
          <w:p w14:paraId="52FBA587" w14:textId="77777777" w:rsidR="0015623F" w:rsidRPr="00BB46BD" w:rsidRDefault="0015623F" w:rsidP="00BB46BD">
            <w:pPr>
              <w:spacing w:line="276" w:lineRule="auto"/>
              <w:jc w:val="center"/>
              <w:rPr>
                <w:rFonts w:ascii="Arial" w:eastAsia="Times New Roman" w:hAnsi="Arial" w:cs="Arial"/>
                <w:b/>
                <w:sz w:val="18"/>
                <w:szCs w:val="18"/>
                <w:lang w:eastAsia="pt-BR"/>
              </w:rPr>
            </w:pPr>
            <w:r w:rsidRPr="00BB46BD">
              <w:rPr>
                <w:rFonts w:ascii="Arial" w:eastAsia="Times New Roman" w:hAnsi="Arial" w:cs="Arial"/>
                <w:b/>
                <w:sz w:val="18"/>
                <w:szCs w:val="18"/>
                <w:lang w:eastAsia="pt-BR"/>
              </w:rPr>
              <w:t>Definições</w:t>
            </w:r>
          </w:p>
        </w:tc>
      </w:tr>
      <w:tr w:rsidR="00B90305" w:rsidRPr="00BB46BD" w14:paraId="0E085F66" w14:textId="77777777" w:rsidTr="00283F69">
        <w:trPr>
          <w:trHeight w:val="377"/>
        </w:trPr>
        <w:tc>
          <w:tcPr>
            <w:tcW w:w="4412" w:type="dxa"/>
          </w:tcPr>
          <w:p w14:paraId="6BCCB28C" w14:textId="77777777" w:rsidR="0015623F" w:rsidRPr="00BB46BD" w:rsidRDefault="0015623F" w:rsidP="00BB46BD">
            <w:pPr>
              <w:spacing w:line="276" w:lineRule="auto"/>
              <w:jc w:val="both"/>
              <w:rPr>
                <w:rFonts w:ascii="Arial" w:eastAsia="Times New Roman" w:hAnsi="Arial" w:cs="Arial"/>
                <w:sz w:val="18"/>
                <w:szCs w:val="18"/>
                <w:lang w:eastAsia="pt-BR"/>
              </w:rPr>
            </w:pPr>
            <w:r w:rsidRPr="00BB46BD">
              <w:rPr>
                <w:rFonts w:ascii="Arial" w:eastAsia="Times New Roman" w:hAnsi="Arial" w:cs="Arial"/>
                <w:sz w:val="18"/>
                <w:szCs w:val="18"/>
                <w:lang w:eastAsia="pt-BR"/>
              </w:rPr>
              <w:t>1-Púrpura palpável</w:t>
            </w:r>
          </w:p>
        </w:tc>
        <w:tc>
          <w:tcPr>
            <w:tcW w:w="4412" w:type="dxa"/>
          </w:tcPr>
          <w:p w14:paraId="26EA854B" w14:textId="77777777" w:rsidR="0015623F" w:rsidRPr="00BB46BD" w:rsidRDefault="0015623F" w:rsidP="00BB46BD">
            <w:pPr>
              <w:spacing w:line="276" w:lineRule="auto"/>
              <w:jc w:val="both"/>
              <w:rPr>
                <w:rFonts w:ascii="Arial" w:eastAsia="Times New Roman" w:hAnsi="Arial" w:cs="Arial"/>
                <w:sz w:val="18"/>
                <w:szCs w:val="18"/>
                <w:lang w:eastAsia="pt-BR"/>
              </w:rPr>
            </w:pPr>
            <w:r w:rsidRPr="00BB46BD">
              <w:rPr>
                <w:rFonts w:ascii="Arial" w:eastAsia="Times New Roman" w:hAnsi="Arial" w:cs="Arial"/>
                <w:sz w:val="18"/>
                <w:szCs w:val="18"/>
                <w:lang w:eastAsia="pt-BR"/>
              </w:rPr>
              <w:t>Púrpuras elevadas, não relacionadas a redução das plaquetas (plaquetopenia)</w:t>
            </w:r>
          </w:p>
        </w:tc>
      </w:tr>
      <w:tr w:rsidR="00B90305" w:rsidRPr="00BB46BD" w14:paraId="01361C97" w14:textId="77777777" w:rsidTr="00283F69">
        <w:trPr>
          <w:trHeight w:val="377"/>
        </w:trPr>
        <w:tc>
          <w:tcPr>
            <w:tcW w:w="4412" w:type="dxa"/>
          </w:tcPr>
          <w:p w14:paraId="724074AA" w14:textId="77777777" w:rsidR="0015623F" w:rsidRPr="00BB46BD" w:rsidRDefault="0015623F" w:rsidP="00BB46BD">
            <w:pPr>
              <w:spacing w:line="276" w:lineRule="auto"/>
              <w:jc w:val="both"/>
              <w:rPr>
                <w:rFonts w:ascii="Arial" w:eastAsia="Times New Roman" w:hAnsi="Arial" w:cs="Arial"/>
                <w:sz w:val="18"/>
                <w:szCs w:val="18"/>
                <w:lang w:eastAsia="pt-BR"/>
              </w:rPr>
            </w:pPr>
            <w:r w:rsidRPr="00BB46BD">
              <w:rPr>
                <w:rFonts w:ascii="Arial" w:eastAsia="Times New Roman" w:hAnsi="Arial" w:cs="Arial"/>
                <w:sz w:val="18"/>
                <w:szCs w:val="18"/>
                <w:lang w:eastAsia="pt-BR"/>
              </w:rPr>
              <w:t>2-Idade de início inferior a 20 anos</w:t>
            </w:r>
          </w:p>
        </w:tc>
        <w:tc>
          <w:tcPr>
            <w:tcW w:w="4412" w:type="dxa"/>
          </w:tcPr>
          <w:p w14:paraId="2DC888D5" w14:textId="77777777" w:rsidR="0015623F" w:rsidRPr="00BB46BD" w:rsidRDefault="0015623F" w:rsidP="00BB46BD">
            <w:pPr>
              <w:spacing w:line="276" w:lineRule="auto"/>
              <w:jc w:val="both"/>
              <w:rPr>
                <w:rFonts w:ascii="Arial" w:eastAsia="Times New Roman" w:hAnsi="Arial" w:cs="Arial"/>
                <w:sz w:val="18"/>
                <w:szCs w:val="18"/>
                <w:lang w:eastAsia="pt-BR"/>
              </w:rPr>
            </w:pPr>
            <w:r w:rsidRPr="00BB46BD">
              <w:rPr>
                <w:rFonts w:ascii="Arial" w:eastAsia="Times New Roman" w:hAnsi="Arial" w:cs="Arial"/>
                <w:sz w:val="18"/>
                <w:szCs w:val="18"/>
                <w:lang w:eastAsia="pt-BR"/>
              </w:rPr>
              <w:t>Idade de início dos sintomas antes dos 20 anos</w:t>
            </w:r>
          </w:p>
        </w:tc>
      </w:tr>
      <w:tr w:rsidR="00B90305" w:rsidRPr="00BB46BD" w14:paraId="388A5C2F" w14:textId="77777777" w:rsidTr="00283F69">
        <w:trPr>
          <w:trHeight w:val="377"/>
        </w:trPr>
        <w:tc>
          <w:tcPr>
            <w:tcW w:w="4412" w:type="dxa"/>
          </w:tcPr>
          <w:p w14:paraId="13F36BBB" w14:textId="77777777" w:rsidR="0015623F" w:rsidRPr="00BB46BD" w:rsidRDefault="0015623F" w:rsidP="00BB46BD">
            <w:pPr>
              <w:spacing w:line="276" w:lineRule="auto"/>
              <w:jc w:val="both"/>
              <w:rPr>
                <w:rFonts w:ascii="Arial" w:eastAsia="Times New Roman" w:hAnsi="Arial" w:cs="Arial"/>
                <w:sz w:val="18"/>
                <w:szCs w:val="18"/>
                <w:lang w:eastAsia="pt-BR"/>
              </w:rPr>
            </w:pPr>
            <w:r w:rsidRPr="00BB46BD">
              <w:rPr>
                <w:rFonts w:ascii="Arial" w:eastAsia="Times New Roman" w:hAnsi="Arial" w:cs="Arial"/>
                <w:sz w:val="18"/>
                <w:szCs w:val="18"/>
                <w:lang w:eastAsia="pt-BR"/>
              </w:rPr>
              <w:t>3-Dor abdominal</w:t>
            </w:r>
          </w:p>
        </w:tc>
        <w:tc>
          <w:tcPr>
            <w:tcW w:w="4412" w:type="dxa"/>
          </w:tcPr>
          <w:p w14:paraId="7C78921D" w14:textId="77777777" w:rsidR="0015623F" w:rsidRPr="00BB46BD" w:rsidRDefault="0015623F" w:rsidP="00BB46BD">
            <w:pPr>
              <w:spacing w:line="276" w:lineRule="auto"/>
              <w:jc w:val="both"/>
              <w:rPr>
                <w:rFonts w:ascii="Arial" w:eastAsia="Times New Roman" w:hAnsi="Arial" w:cs="Arial"/>
                <w:sz w:val="18"/>
                <w:szCs w:val="18"/>
                <w:lang w:eastAsia="pt-BR"/>
              </w:rPr>
            </w:pPr>
            <w:r w:rsidRPr="00BB46BD">
              <w:rPr>
                <w:rFonts w:ascii="Arial" w:eastAsia="Times New Roman" w:hAnsi="Arial" w:cs="Arial"/>
                <w:sz w:val="18"/>
                <w:szCs w:val="18"/>
                <w:lang w:eastAsia="pt-BR"/>
              </w:rPr>
              <w:t>Dor na barriga, geralmente difusa que piora às refeições ou presença de sangramento nas fezes</w:t>
            </w:r>
          </w:p>
        </w:tc>
      </w:tr>
      <w:tr w:rsidR="00B90305" w:rsidRPr="00BB46BD" w14:paraId="22599C7F" w14:textId="77777777" w:rsidTr="00283F69">
        <w:trPr>
          <w:trHeight w:val="400"/>
        </w:trPr>
        <w:tc>
          <w:tcPr>
            <w:tcW w:w="4412" w:type="dxa"/>
          </w:tcPr>
          <w:p w14:paraId="2EFF39B0" w14:textId="77777777" w:rsidR="0015623F" w:rsidRPr="00BB46BD" w:rsidRDefault="0015623F" w:rsidP="00BB46BD">
            <w:pPr>
              <w:spacing w:line="276" w:lineRule="auto"/>
              <w:jc w:val="both"/>
              <w:rPr>
                <w:rFonts w:ascii="Arial" w:eastAsia="Times New Roman" w:hAnsi="Arial" w:cs="Arial"/>
                <w:sz w:val="18"/>
                <w:szCs w:val="18"/>
                <w:lang w:eastAsia="pt-BR"/>
              </w:rPr>
            </w:pPr>
            <w:r w:rsidRPr="00BB46BD">
              <w:rPr>
                <w:rFonts w:ascii="Arial" w:eastAsia="Times New Roman" w:hAnsi="Arial" w:cs="Arial"/>
                <w:sz w:val="18"/>
                <w:szCs w:val="18"/>
                <w:lang w:eastAsia="pt-BR"/>
              </w:rPr>
              <w:t>4-Alterações na biópsia de pele</w:t>
            </w:r>
          </w:p>
        </w:tc>
        <w:tc>
          <w:tcPr>
            <w:tcW w:w="4412" w:type="dxa"/>
          </w:tcPr>
          <w:p w14:paraId="1054DAC6" w14:textId="77777777" w:rsidR="0015623F" w:rsidRPr="00BB46BD" w:rsidRDefault="0015623F" w:rsidP="00BB46BD">
            <w:pPr>
              <w:spacing w:line="276" w:lineRule="auto"/>
              <w:jc w:val="both"/>
              <w:rPr>
                <w:rFonts w:ascii="Arial" w:eastAsia="Times New Roman" w:hAnsi="Arial" w:cs="Arial"/>
                <w:sz w:val="18"/>
                <w:szCs w:val="18"/>
                <w:lang w:eastAsia="pt-BR"/>
              </w:rPr>
            </w:pPr>
            <w:r w:rsidRPr="00BB46BD">
              <w:rPr>
                <w:rFonts w:ascii="Arial" w:eastAsia="Times New Roman" w:hAnsi="Arial" w:cs="Arial"/>
                <w:sz w:val="18"/>
                <w:szCs w:val="18"/>
                <w:lang w:eastAsia="pt-BR"/>
              </w:rPr>
              <w:t>O exame histológico evidencia granulócitos em paredes de arteríolas e vênulas</w:t>
            </w:r>
          </w:p>
        </w:tc>
      </w:tr>
    </w:tbl>
    <w:p w14:paraId="62D58150" w14:textId="77777777" w:rsidR="0015623F" w:rsidRPr="00BB46BD" w:rsidRDefault="0015623F" w:rsidP="00BB46BD">
      <w:pPr>
        <w:spacing w:line="276" w:lineRule="auto"/>
        <w:jc w:val="both"/>
        <w:rPr>
          <w:rFonts w:ascii="Arial" w:eastAsia="Times New Roman" w:hAnsi="Arial" w:cs="Arial"/>
          <w:sz w:val="20"/>
          <w:szCs w:val="20"/>
          <w:lang w:eastAsia="pt-BR"/>
        </w:rPr>
      </w:pPr>
      <w:r w:rsidRPr="00BB46BD">
        <w:rPr>
          <w:rFonts w:ascii="Arial" w:eastAsia="Times New Roman" w:hAnsi="Arial" w:cs="Arial"/>
          <w:sz w:val="20"/>
          <w:szCs w:val="20"/>
          <w:lang w:eastAsia="pt-BR"/>
        </w:rPr>
        <w:t>A presença de 2 ou mais dos 4 critérios, em crianças e adolescentes com púrpura palpável, define o diagnóstico.</w:t>
      </w:r>
    </w:p>
    <w:p w14:paraId="33CEB759" w14:textId="77777777" w:rsidR="0015623F" w:rsidRPr="00BB46BD" w:rsidRDefault="0015623F" w:rsidP="00BB46BD">
      <w:pPr>
        <w:spacing w:line="276" w:lineRule="auto"/>
        <w:jc w:val="both"/>
        <w:rPr>
          <w:rFonts w:ascii="Arial" w:eastAsia="Times New Roman" w:hAnsi="Arial" w:cs="Arial"/>
          <w:sz w:val="20"/>
          <w:szCs w:val="20"/>
          <w:lang w:eastAsia="pt-BR"/>
        </w:rPr>
      </w:pPr>
      <w:r w:rsidRPr="00BB46BD">
        <w:rPr>
          <w:rFonts w:ascii="Arial" w:eastAsia="Times New Roman" w:hAnsi="Arial" w:cs="Arial"/>
          <w:sz w:val="20"/>
          <w:szCs w:val="20"/>
          <w:lang w:eastAsia="pt-BR"/>
        </w:rPr>
        <w:t>A manifestação clínica mais frequente é a púrpura palpável em 100% dos pacientes, de caráter ascendente em MMII e nádegas. Geralmente, as lesões aparecem em surtos com intervalos de 1 semana ou mais e com duração total do quadro entre 3 e 12 semanas. O edema do subcutâneo tem localização predominante em mãos, pés e face (frontal, especialmente em lactentes), podendo ser evidenciado em até 30% dos pacientes.</w:t>
      </w:r>
    </w:p>
    <w:p w14:paraId="1C5CB0A5" w14:textId="77777777" w:rsidR="0015623F" w:rsidRPr="00BB46BD" w:rsidRDefault="0015623F" w:rsidP="00BB46BD">
      <w:pPr>
        <w:spacing w:line="276" w:lineRule="auto"/>
        <w:jc w:val="both"/>
        <w:rPr>
          <w:rFonts w:ascii="Arial" w:eastAsia="Times New Roman" w:hAnsi="Arial" w:cs="Arial"/>
          <w:sz w:val="20"/>
          <w:szCs w:val="20"/>
          <w:lang w:eastAsia="pt-BR"/>
        </w:rPr>
      </w:pPr>
      <w:r w:rsidRPr="00BB46BD">
        <w:rPr>
          <w:rFonts w:ascii="Arial" w:eastAsia="Times New Roman" w:hAnsi="Arial" w:cs="Arial"/>
          <w:sz w:val="20"/>
          <w:szCs w:val="20"/>
          <w:lang w:eastAsia="pt-BR"/>
        </w:rPr>
        <w:t>Artralgia ou artrite ocorre em 60 a 80% dos pacientes, principalmente em grandes articulações de MMII, como joelhos e tornozelos, dificultando ou impossibilitando a deambulação.</w:t>
      </w:r>
    </w:p>
    <w:p w14:paraId="2AF15F38" w14:textId="77777777" w:rsidR="0015623F" w:rsidRPr="00BB46BD" w:rsidRDefault="0015623F" w:rsidP="00BB46BD">
      <w:pPr>
        <w:spacing w:line="276" w:lineRule="auto"/>
        <w:jc w:val="both"/>
        <w:rPr>
          <w:rFonts w:ascii="Arial" w:eastAsia="Times New Roman" w:hAnsi="Arial" w:cs="Arial"/>
          <w:sz w:val="20"/>
          <w:szCs w:val="20"/>
          <w:lang w:eastAsia="pt-BR"/>
        </w:rPr>
      </w:pPr>
      <w:r w:rsidRPr="00BB46BD">
        <w:rPr>
          <w:rFonts w:ascii="Arial" w:eastAsia="Times New Roman" w:hAnsi="Arial" w:cs="Arial"/>
          <w:sz w:val="20"/>
          <w:szCs w:val="20"/>
          <w:lang w:eastAsia="pt-BR"/>
        </w:rPr>
        <w:t xml:space="preserve">O comprometimento gastrointestinal ocorre em 50 a 85% dos pacientes, com dor abdominal, náuseas, vômitos, </w:t>
      </w:r>
      <w:proofErr w:type="spellStart"/>
      <w:r w:rsidRPr="00BB46BD">
        <w:rPr>
          <w:rFonts w:ascii="Arial" w:eastAsia="Times New Roman" w:hAnsi="Arial" w:cs="Arial"/>
          <w:sz w:val="20"/>
          <w:szCs w:val="20"/>
          <w:lang w:eastAsia="pt-BR"/>
        </w:rPr>
        <w:t>enterorragia</w:t>
      </w:r>
      <w:proofErr w:type="spellEnd"/>
      <w:r w:rsidRPr="00BB46BD">
        <w:rPr>
          <w:rFonts w:ascii="Arial" w:eastAsia="Times New Roman" w:hAnsi="Arial" w:cs="Arial"/>
          <w:sz w:val="20"/>
          <w:szCs w:val="20"/>
          <w:lang w:eastAsia="pt-BR"/>
        </w:rPr>
        <w:t>, melena e, raramente, perfuração intestinal.</w:t>
      </w:r>
    </w:p>
    <w:p w14:paraId="08DEA071" w14:textId="77777777" w:rsidR="0015623F" w:rsidRPr="00BB46BD" w:rsidRDefault="0015623F" w:rsidP="00BB46BD">
      <w:pPr>
        <w:spacing w:line="276" w:lineRule="auto"/>
        <w:jc w:val="both"/>
        <w:rPr>
          <w:rFonts w:ascii="Arial" w:eastAsia="Times New Roman" w:hAnsi="Arial" w:cs="Arial"/>
          <w:sz w:val="20"/>
          <w:szCs w:val="20"/>
          <w:lang w:eastAsia="pt-BR"/>
        </w:rPr>
      </w:pPr>
      <w:r w:rsidRPr="00BB46BD">
        <w:rPr>
          <w:rFonts w:ascii="Arial" w:eastAsia="Times New Roman" w:hAnsi="Arial" w:cs="Arial"/>
          <w:sz w:val="20"/>
          <w:szCs w:val="20"/>
          <w:lang w:eastAsia="pt-BR"/>
        </w:rPr>
        <w:t xml:space="preserve">O acometimento renal (nefrite) ocorre em 10 a 50% dos pacientes, geralmente nos 3 primeiros meses da doença. Doença renal grave incide em 1 a 4,5% de todas as crianças e adolescentes com PHS e em 7,5% daqueles com alterações renais persistentes. As alterações mais frequentes </w:t>
      </w:r>
      <w:r w:rsidRPr="00BB46BD">
        <w:rPr>
          <w:rFonts w:ascii="Arial" w:eastAsia="Times New Roman" w:hAnsi="Arial" w:cs="Arial"/>
          <w:sz w:val="20"/>
          <w:szCs w:val="20"/>
          <w:lang w:eastAsia="pt-BR"/>
        </w:rPr>
        <w:lastRenderedPageBreak/>
        <w:t>são leves, transitórias e evidenciáveis nos exames de urina, como hematúria e proteinúria, com resolução espontânea em 1 a 3 meses.</w:t>
      </w:r>
    </w:p>
    <w:p w14:paraId="5FBDD243" w14:textId="77777777" w:rsidR="0015623F" w:rsidRPr="00BB46BD" w:rsidRDefault="0015623F" w:rsidP="00BB46BD">
      <w:pPr>
        <w:spacing w:line="276" w:lineRule="auto"/>
        <w:jc w:val="both"/>
        <w:rPr>
          <w:rFonts w:ascii="Arial" w:eastAsia="Times New Roman" w:hAnsi="Arial" w:cs="Arial"/>
          <w:b/>
          <w:sz w:val="20"/>
          <w:szCs w:val="20"/>
          <w:lang w:eastAsia="pt-BR"/>
        </w:rPr>
      </w:pPr>
      <w:r w:rsidRPr="00BB46BD">
        <w:rPr>
          <w:rFonts w:ascii="Arial" w:eastAsia="Times New Roman" w:hAnsi="Arial" w:cs="Arial"/>
          <w:b/>
          <w:sz w:val="20"/>
          <w:szCs w:val="20"/>
          <w:lang w:eastAsia="pt-BR"/>
        </w:rPr>
        <w:t>Exames complementares</w:t>
      </w:r>
      <w:r w:rsidR="00BB46BD">
        <w:rPr>
          <w:rFonts w:ascii="Arial" w:eastAsia="Times New Roman" w:hAnsi="Arial" w:cs="Arial"/>
          <w:b/>
          <w:sz w:val="20"/>
          <w:szCs w:val="20"/>
          <w:lang w:eastAsia="pt-BR"/>
        </w:rPr>
        <w:t>:</w:t>
      </w:r>
    </w:p>
    <w:p w14:paraId="10382B8F" w14:textId="77777777" w:rsidR="0015623F" w:rsidRPr="00BB46BD" w:rsidRDefault="0015623F" w:rsidP="00BB46BD">
      <w:pPr>
        <w:spacing w:line="276" w:lineRule="auto"/>
        <w:jc w:val="both"/>
        <w:rPr>
          <w:rFonts w:ascii="Arial" w:eastAsia="Times New Roman" w:hAnsi="Arial" w:cs="Arial"/>
          <w:sz w:val="20"/>
          <w:szCs w:val="20"/>
          <w:lang w:eastAsia="pt-BR"/>
        </w:rPr>
      </w:pPr>
      <w:r w:rsidRPr="00BB46BD">
        <w:rPr>
          <w:rFonts w:ascii="Arial" w:eastAsia="Times New Roman" w:hAnsi="Arial" w:cs="Arial"/>
          <w:sz w:val="20"/>
          <w:szCs w:val="20"/>
          <w:lang w:eastAsia="pt-BR"/>
        </w:rPr>
        <w:t>HC: normal ou com discreta leucocitose e neutrofilia</w:t>
      </w:r>
    </w:p>
    <w:p w14:paraId="55EBD0E8" w14:textId="77777777" w:rsidR="0015623F" w:rsidRPr="00BB46BD" w:rsidRDefault="0015623F" w:rsidP="00BB46BD">
      <w:pPr>
        <w:spacing w:line="276" w:lineRule="auto"/>
        <w:jc w:val="both"/>
        <w:rPr>
          <w:rFonts w:ascii="Arial" w:eastAsia="Times New Roman" w:hAnsi="Arial" w:cs="Arial"/>
          <w:sz w:val="20"/>
          <w:szCs w:val="20"/>
          <w:lang w:eastAsia="pt-BR"/>
        </w:rPr>
      </w:pPr>
      <w:r w:rsidRPr="00BB46BD">
        <w:rPr>
          <w:rFonts w:ascii="Arial" w:eastAsia="Times New Roman" w:hAnsi="Arial" w:cs="Arial"/>
          <w:sz w:val="20"/>
          <w:szCs w:val="20"/>
          <w:lang w:eastAsia="pt-BR"/>
        </w:rPr>
        <w:t>Provas de atividade inflamatória: VHS, PCR, alfa1glicoproteína – todas aumentadas</w:t>
      </w:r>
    </w:p>
    <w:p w14:paraId="52BA4AD1" w14:textId="77777777" w:rsidR="0015623F" w:rsidRPr="00BB46BD" w:rsidRDefault="0015623F" w:rsidP="00BB46BD">
      <w:pPr>
        <w:spacing w:line="276" w:lineRule="auto"/>
        <w:jc w:val="both"/>
        <w:rPr>
          <w:rFonts w:ascii="Arial" w:eastAsia="Times New Roman" w:hAnsi="Arial" w:cs="Arial"/>
          <w:sz w:val="20"/>
          <w:szCs w:val="20"/>
          <w:lang w:eastAsia="pt-BR"/>
        </w:rPr>
      </w:pPr>
      <w:r w:rsidRPr="00BB46BD">
        <w:rPr>
          <w:rFonts w:ascii="Arial" w:eastAsia="Times New Roman" w:hAnsi="Arial" w:cs="Arial"/>
          <w:sz w:val="20"/>
          <w:szCs w:val="20"/>
          <w:lang w:eastAsia="pt-BR"/>
        </w:rPr>
        <w:t xml:space="preserve">ASLO: na tentativa de se detectar uma </w:t>
      </w:r>
      <w:proofErr w:type="spellStart"/>
      <w:r w:rsidRPr="00BB46BD">
        <w:rPr>
          <w:rFonts w:ascii="Arial" w:eastAsia="Times New Roman" w:hAnsi="Arial" w:cs="Arial"/>
          <w:sz w:val="20"/>
          <w:szCs w:val="20"/>
          <w:lang w:eastAsia="pt-BR"/>
        </w:rPr>
        <w:t>estreptococcia</w:t>
      </w:r>
      <w:proofErr w:type="spellEnd"/>
    </w:p>
    <w:p w14:paraId="4FD51B67" w14:textId="77777777" w:rsidR="0015623F" w:rsidRPr="00BB46BD" w:rsidRDefault="0015623F" w:rsidP="00BB46BD">
      <w:pPr>
        <w:spacing w:line="276" w:lineRule="auto"/>
        <w:jc w:val="both"/>
        <w:rPr>
          <w:rFonts w:ascii="Arial" w:eastAsia="Times New Roman" w:hAnsi="Arial" w:cs="Arial"/>
          <w:sz w:val="20"/>
          <w:szCs w:val="20"/>
          <w:lang w:eastAsia="pt-BR"/>
        </w:rPr>
      </w:pPr>
      <w:r w:rsidRPr="00BB46BD">
        <w:rPr>
          <w:rFonts w:ascii="Arial" w:eastAsia="Times New Roman" w:hAnsi="Arial" w:cs="Arial"/>
          <w:sz w:val="20"/>
          <w:szCs w:val="20"/>
          <w:lang w:eastAsia="pt-BR"/>
        </w:rPr>
        <w:t>EAS: exame muito importante para avaliação dos rins, realizado já na Emergência</w:t>
      </w:r>
    </w:p>
    <w:p w14:paraId="3D891257" w14:textId="77777777" w:rsidR="0015623F" w:rsidRPr="00BB46BD" w:rsidRDefault="0015623F" w:rsidP="00BB46BD">
      <w:pPr>
        <w:spacing w:line="276" w:lineRule="auto"/>
        <w:jc w:val="both"/>
        <w:rPr>
          <w:rFonts w:ascii="Arial" w:eastAsia="Times New Roman" w:hAnsi="Arial" w:cs="Arial"/>
          <w:sz w:val="20"/>
          <w:szCs w:val="20"/>
          <w:lang w:eastAsia="pt-BR"/>
        </w:rPr>
      </w:pPr>
      <w:r w:rsidRPr="00BB46BD">
        <w:rPr>
          <w:rFonts w:ascii="Arial" w:eastAsia="Times New Roman" w:hAnsi="Arial" w:cs="Arial"/>
          <w:sz w:val="20"/>
          <w:szCs w:val="20"/>
          <w:lang w:eastAsia="pt-BR"/>
        </w:rPr>
        <w:t>Ultrassonografia abdominal: indicada nos casos de dor abdominal importante e refratária ao tratamento, para afastar suspeita de abdome agudo hemorrágico.</w:t>
      </w:r>
    </w:p>
    <w:p w14:paraId="4E9157DD" w14:textId="77777777" w:rsidR="0015623F" w:rsidRPr="00BB46BD" w:rsidRDefault="0015623F" w:rsidP="00BB46BD">
      <w:pPr>
        <w:pStyle w:val="PargrafodaLista"/>
        <w:numPr>
          <w:ilvl w:val="0"/>
          <w:numId w:val="20"/>
        </w:numPr>
        <w:spacing w:line="276" w:lineRule="auto"/>
        <w:jc w:val="both"/>
        <w:rPr>
          <w:rFonts w:ascii="Arial" w:eastAsia="Times New Roman" w:hAnsi="Arial" w:cs="Arial"/>
          <w:b/>
          <w:sz w:val="24"/>
          <w:szCs w:val="24"/>
          <w:lang w:eastAsia="pt-BR"/>
        </w:rPr>
      </w:pPr>
      <w:r w:rsidRPr="00BB46BD">
        <w:rPr>
          <w:rFonts w:ascii="Arial" w:eastAsia="Times New Roman" w:hAnsi="Arial" w:cs="Arial"/>
          <w:b/>
          <w:sz w:val="24"/>
          <w:szCs w:val="24"/>
          <w:lang w:eastAsia="pt-BR"/>
        </w:rPr>
        <w:t>Tratamento</w:t>
      </w:r>
      <w:r w:rsidR="00BB46BD" w:rsidRPr="00BB46BD">
        <w:rPr>
          <w:rFonts w:ascii="Arial" w:eastAsia="Times New Roman" w:hAnsi="Arial" w:cs="Arial"/>
          <w:b/>
          <w:sz w:val="24"/>
          <w:szCs w:val="24"/>
          <w:lang w:eastAsia="pt-BR"/>
        </w:rPr>
        <w:t>:</w:t>
      </w:r>
    </w:p>
    <w:p w14:paraId="38E4A555" w14:textId="77777777" w:rsidR="0015623F" w:rsidRPr="00BB46BD" w:rsidRDefault="0015623F" w:rsidP="00BB46BD">
      <w:pPr>
        <w:spacing w:line="276" w:lineRule="auto"/>
        <w:jc w:val="both"/>
        <w:rPr>
          <w:rFonts w:ascii="Arial" w:eastAsia="Times New Roman" w:hAnsi="Arial" w:cs="Arial"/>
          <w:sz w:val="20"/>
          <w:szCs w:val="20"/>
          <w:lang w:eastAsia="pt-BR"/>
        </w:rPr>
      </w:pPr>
      <w:r w:rsidRPr="00BB46BD">
        <w:rPr>
          <w:rFonts w:ascii="Arial" w:eastAsia="Times New Roman" w:hAnsi="Arial" w:cs="Arial"/>
          <w:sz w:val="20"/>
          <w:szCs w:val="20"/>
          <w:lang w:eastAsia="pt-BR"/>
        </w:rPr>
        <w:t xml:space="preserve">Quadro </w:t>
      </w:r>
      <w:proofErr w:type="spellStart"/>
      <w:r w:rsidRPr="00BB46BD">
        <w:rPr>
          <w:rFonts w:ascii="Arial" w:eastAsia="Times New Roman" w:hAnsi="Arial" w:cs="Arial"/>
          <w:sz w:val="20"/>
          <w:szCs w:val="20"/>
          <w:lang w:eastAsia="pt-BR"/>
        </w:rPr>
        <w:t>purpúrico</w:t>
      </w:r>
      <w:proofErr w:type="spellEnd"/>
      <w:r w:rsidRPr="00BB46BD">
        <w:rPr>
          <w:rFonts w:ascii="Arial" w:eastAsia="Times New Roman" w:hAnsi="Arial" w:cs="Arial"/>
          <w:sz w:val="20"/>
          <w:szCs w:val="20"/>
          <w:lang w:eastAsia="pt-BR"/>
        </w:rPr>
        <w:t xml:space="preserve"> cutâneo: não necessita de medicação. Em alguns casos, com prurido importante, indica-se o uso de anti-histamínico (</w:t>
      </w:r>
      <w:proofErr w:type="spellStart"/>
      <w:r w:rsidRPr="00BB46BD">
        <w:rPr>
          <w:rFonts w:ascii="Arial" w:eastAsia="Times New Roman" w:hAnsi="Arial" w:cs="Arial"/>
          <w:sz w:val="20"/>
          <w:szCs w:val="20"/>
          <w:lang w:eastAsia="pt-BR"/>
        </w:rPr>
        <w:t>loratadina</w:t>
      </w:r>
      <w:proofErr w:type="spellEnd"/>
      <w:r w:rsidRPr="00BB46BD">
        <w:rPr>
          <w:rFonts w:ascii="Arial" w:eastAsia="Times New Roman" w:hAnsi="Arial" w:cs="Arial"/>
          <w:sz w:val="20"/>
          <w:szCs w:val="20"/>
          <w:lang w:eastAsia="pt-BR"/>
        </w:rPr>
        <w:t xml:space="preserve">, </w:t>
      </w:r>
      <w:proofErr w:type="spellStart"/>
      <w:r w:rsidRPr="00BB46BD">
        <w:rPr>
          <w:rFonts w:ascii="Arial" w:eastAsia="Times New Roman" w:hAnsi="Arial" w:cs="Arial"/>
          <w:sz w:val="20"/>
          <w:szCs w:val="20"/>
          <w:lang w:eastAsia="pt-BR"/>
        </w:rPr>
        <w:t>desloratadina</w:t>
      </w:r>
      <w:proofErr w:type="spellEnd"/>
      <w:r w:rsidRPr="00BB46BD">
        <w:rPr>
          <w:rFonts w:ascii="Arial" w:eastAsia="Times New Roman" w:hAnsi="Arial" w:cs="Arial"/>
          <w:sz w:val="20"/>
          <w:szCs w:val="20"/>
          <w:lang w:eastAsia="pt-BR"/>
        </w:rPr>
        <w:t xml:space="preserve">, </w:t>
      </w:r>
      <w:proofErr w:type="spellStart"/>
      <w:r w:rsidRPr="00BB46BD">
        <w:rPr>
          <w:rFonts w:ascii="Arial" w:eastAsia="Times New Roman" w:hAnsi="Arial" w:cs="Arial"/>
          <w:sz w:val="20"/>
          <w:szCs w:val="20"/>
          <w:lang w:eastAsia="pt-BR"/>
        </w:rPr>
        <w:t>dexclorfeniramina</w:t>
      </w:r>
      <w:proofErr w:type="spellEnd"/>
      <w:r w:rsidRPr="00BB46BD">
        <w:rPr>
          <w:rFonts w:ascii="Arial" w:eastAsia="Times New Roman" w:hAnsi="Arial" w:cs="Arial"/>
          <w:sz w:val="20"/>
          <w:szCs w:val="20"/>
          <w:lang w:eastAsia="pt-BR"/>
        </w:rPr>
        <w:t xml:space="preserve">, </w:t>
      </w:r>
      <w:proofErr w:type="spellStart"/>
      <w:r w:rsidRPr="00BB46BD">
        <w:rPr>
          <w:rFonts w:ascii="Arial" w:eastAsia="Times New Roman" w:hAnsi="Arial" w:cs="Arial"/>
          <w:sz w:val="20"/>
          <w:szCs w:val="20"/>
          <w:lang w:eastAsia="pt-BR"/>
        </w:rPr>
        <w:t>hidroxizine</w:t>
      </w:r>
      <w:proofErr w:type="spellEnd"/>
      <w:r w:rsidRPr="00BB46BD">
        <w:rPr>
          <w:rFonts w:ascii="Arial" w:eastAsia="Times New Roman" w:hAnsi="Arial" w:cs="Arial"/>
          <w:sz w:val="20"/>
          <w:szCs w:val="20"/>
          <w:lang w:eastAsia="pt-BR"/>
        </w:rPr>
        <w:t xml:space="preserve">, </w:t>
      </w:r>
      <w:proofErr w:type="spellStart"/>
      <w:r w:rsidRPr="00BB46BD">
        <w:rPr>
          <w:rFonts w:ascii="Arial" w:eastAsia="Times New Roman" w:hAnsi="Arial" w:cs="Arial"/>
          <w:sz w:val="20"/>
          <w:szCs w:val="20"/>
          <w:lang w:eastAsia="pt-BR"/>
        </w:rPr>
        <w:t>fexofenadina</w:t>
      </w:r>
      <w:proofErr w:type="spellEnd"/>
      <w:r w:rsidRPr="00BB46BD">
        <w:rPr>
          <w:rFonts w:ascii="Arial" w:eastAsia="Times New Roman" w:hAnsi="Arial" w:cs="Arial"/>
          <w:sz w:val="20"/>
          <w:szCs w:val="20"/>
          <w:lang w:eastAsia="pt-BR"/>
        </w:rPr>
        <w:t>, nas doses habituais, por 7 a 10 dias).</w:t>
      </w:r>
    </w:p>
    <w:p w14:paraId="36A784DF" w14:textId="77777777" w:rsidR="00BB46BD" w:rsidRDefault="0015623F" w:rsidP="00BB46BD">
      <w:pPr>
        <w:spacing w:line="276" w:lineRule="auto"/>
        <w:jc w:val="both"/>
        <w:rPr>
          <w:rFonts w:ascii="Arial" w:eastAsia="Times New Roman" w:hAnsi="Arial" w:cs="Arial"/>
          <w:sz w:val="20"/>
          <w:szCs w:val="20"/>
          <w:lang w:eastAsia="pt-BR"/>
        </w:rPr>
      </w:pPr>
      <w:r w:rsidRPr="00BB46BD">
        <w:rPr>
          <w:rFonts w:ascii="Arial" w:eastAsia="Times New Roman" w:hAnsi="Arial" w:cs="Arial"/>
          <w:sz w:val="20"/>
          <w:szCs w:val="20"/>
          <w:lang w:eastAsia="pt-BR"/>
        </w:rPr>
        <w:t>Artrite ou artralgias: analgésicos (paracetamol ou ibuprofeno) ou anti-inflamatórios não-hormonais (</w:t>
      </w:r>
      <w:proofErr w:type="spellStart"/>
      <w:r w:rsidRPr="00BB46BD">
        <w:rPr>
          <w:rFonts w:ascii="Arial" w:eastAsia="Times New Roman" w:hAnsi="Arial" w:cs="Arial"/>
          <w:sz w:val="20"/>
          <w:szCs w:val="20"/>
          <w:lang w:eastAsia="pt-BR"/>
        </w:rPr>
        <w:t>naproxeno</w:t>
      </w:r>
      <w:proofErr w:type="spellEnd"/>
      <w:r w:rsidRPr="00BB46BD">
        <w:rPr>
          <w:rFonts w:ascii="Arial" w:eastAsia="Times New Roman" w:hAnsi="Arial" w:cs="Arial"/>
          <w:sz w:val="20"/>
          <w:szCs w:val="20"/>
          <w:lang w:eastAsia="pt-BR"/>
        </w:rPr>
        <w:t>, cetoprofeno, ibuprofeno, diclofenaco), por 1 a 2 semanas, nas doses habituais.</w:t>
      </w:r>
    </w:p>
    <w:p w14:paraId="53A1346E" w14:textId="77777777" w:rsidR="0015623F" w:rsidRPr="00BB46BD" w:rsidRDefault="00BB46BD" w:rsidP="00BB46BD">
      <w:pPr>
        <w:spacing w:line="276" w:lineRule="auto"/>
        <w:jc w:val="both"/>
        <w:rPr>
          <w:rFonts w:ascii="Arial" w:eastAsia="Times New Roman" w:hAnsi="Arial" w:cs="Arial"/>
          <w:sz w:val="20"/>
          <w:szCs w:val="20"/>
          <w:lang w:eastAsia="pt-BR"/>
        </w:rPr>
      </w:pPr>
      <w:r>
        <w:rPr>
          <w:rFonts w:ascii="Arial" w:hAnsi="Arial" w:cs="Arial"/>
          <w:sz w:val="20"/>
          <w:szCs w:val="20"/>
        </w:rPr>
        <w:t xml:space="preserve"> </w:t>
      </w:r>
      <w:r w:rsidR="0015623F" w:rsidRPr="00BB46BD">
        <w:rPr>
          <w:rFonts w:ascii="Arial" w:hAnsi="Arial" w:cs="Arial"/>
          <w:sz w:val="20"/>
          <w:szCs w:val="20"/>
        </w:rPr>
        <w:t>Cetoprofeno (2 a 4mg/Kg/dia em 3 ou 4 doses, máximo de 300mg/dia)</w:t>
      </w:r>
    </w:p>
    <w:p w14:paraId="6A653C7F" w14:textId="77777777" w:rsidR="0015623F" w:rsidRPr="00BB46BD" w:rsidRDefault="00BB46BD" w:rsidP="00BB46BD">
      <w:pPr>
        <w:spacing w:line="276" w:lineRule="auto"/>
        <w:jc w:val="both"/>
        <w:rPr>
          <w:rFonts w:ascii="Arial" w:hAnsi="Arial" w:cs="Arial"/>
          <w:sz w:val="20"/>
          <w:szCs w:val="20"/>
        </w:rPr>
      </w:pPr>
      <w:r>
        <w:rPr>
          <w:rFonts w:ascii="Arial" w:hAnsi="Arial" w:cs="Arial"/>
          <w:sz w:val="20"/>
          <w:szCs w:val="20"/>
        </w:rPr>
        <w:t xml:space="preserve"> </w:t>
      </w:r>
      <w:r w:rsidR="0015623F" w:rsidRPr="00BB46BD">
        <w:rPr>
          <w:rFonts w:ascii="Arial" w:hAnsi="Arial" w:cs="Arial"/>
          <w:sz w:val="20"/>
          <w:szCs w:val="20"/>
        </w:rPr>
        <w:t>Ibuprofeno (30 a 50mg/Kg/dia em 3 ou 4 doses, máximo de 2.400mg/dia)</w:t>
      </w:r>
    </w:p>
    <w:p w14:paraId="48CEBA7D" w14:textId="77777777" w:rsidR="0015623F" w:rsidRPr="00BB46BD" w:rsidRDefault="00BB46BD" w:rsidP="00BB46BD">
      <w:pPr>
        <w:spacing w:line="276" w:lineRule="auto"/>
        <w:jc w:val="both"/>
        <w:rPr>
          <w:rFonts w:ascii="Arial" w:hAnsi="Arial" w:cs="Arial"/>
          <w:sz w:val="20"/>
          <w:szCs w:val="20"/>
        </w:rPr>
      </w:pPr>
      <w:r>
        <w:rPr>
          <w:rFonts w:ascii="Arial" w:hAnsi="Arial" w:cs="Arial"/>
          <w:sz w:val="20"/>
          <w:szCs w:val="20"/>
        </w:rPr>
        <w:t xml:space="preserve"> </w:t>
      </w:r>
      <w:r w:rsidR="0015623F" w:rsidRPr="00BB46BD">
        <w:rPr>
          <w:rFonts w:ascii="Arial" w:hAnsi="Arial" w:cs="Arial"/>
          <w:sz w:val="20"/>
          <w:szCs w:val="20"/>
        </w:rPr>
        <w:t xml:space="preserve">Diclofenaco (2 a 3mg/Kg/dia em 3 doses, máximo de 150mg/dia) </w:t>
      </w:r>
    </w:p>
    <w:p w14:paraId="3DD52BE5" w14:textId="77777777" w:rsidR="0015623F" w:rsidRPr="00BB46BD" w:rsidRDefault="00BB46BD" w:rsidP="00BB46BD">
      <w:pPr>
        <w:spacing w:line="276" w:lineRule="auto"/>
        <w:jc w:val="both"/>
        <w:rPr>
          <w:rFonts w:ascii="Arial" w:hAnsi="Arial" w:cs="Arial"/>
          <w:sz w:val="20"/>
          <w:szCs w:val="20"/>
        </w:rPr>
      </w:pPr>
      <w:r>
        <w:rPr>
          <w:rFonts w:ascii="Arial" w:hAnsi="Arial" w:cs="Arial"/>
          <w:sz w:val="20"/>
          <w:szCs w:val="20"/>
        </w:rPr>
        <w:t xml:space="preserve"> </w:t>
      </w:r>
      <w:proofErr w:type="spellStart"/>
      <w:r w:rsidR="0015623F" w:rsidRPr="00BB46BD">
        <w:rPr>
          <w:rFonts w:ascii="Arial" w:hAnsi="Arial" w:cs="Arial"/>
          <w:sz w:val="20"/>
          <w:szCs w:val="20"/>
        </w:rPr>
        <w:t>Naproxeno</w:t>
      </w:r>
      <w:proofErr w:type="spellEnd"/>
      <w:r w:rsidR="0015623F" w:rsidRPr="00BB46BD">
        <w:rPr>
          <w:rFonts w:ascii="Arial" w:hAnsi="Arial" w:cs="Arial"/>
          <w:sz w:val="20"/>
          <w:szCs w:val="20"/>
        </w:rPr>
        <w:t xml:space="preserve"> (10 a 20mg/Kg/dia em 2 doses, máximo de 1.000mg/dia)</w:t>
      </w:r>
    </w:p>
    <w:p w14:paraId="3601CBE8" w14:textId="77777777" w:rsidR="0015623F" w:rsidRPr="00BB46BD" w:rsidRDefault="00BB46BD" w:rsidP="00BB46BD">
      <w:pPr>
        <w:spacing w:line="276" w:lineRule="auto"/>
        <w:jc w:val="both"/>
        <w:rPr>
          <w:rFonts w:ascii="Arial" w:hAnsi="Arial" w:cs="Arial"/>
          <w:sz w:val="20"/>
          <w:szCs w:val="20"/>
        </w:rPr>
      </w:pPr>
      <w:r>
        <w:rPr>
          <w:rFonts w:ascii="Arial" w:hAnsi="Arial" w:cs="Arial"/>
          <w:sz w:val="20"/>
          <w:szCs w:val="20"/>
        </w:rPr>
        <w:t xml:space="preserve"> </w:t>
      </w:r>
      <w:proofErr w:type="spellStart"/>
      <w:r w:rsidR="0015623F" w:rsidRPr="00BB46BD">
        <w:rPr>
          <w:rFonts w:ascii="Arial" w:hAnsi="Arial" w:cs="Arial"/>
          <w:sz w:val="20"/>
          <w:szCs w:val="20"/>
        </w:rPr>
        <w:t>Nimesulida</w:t>
      </w:r>
      <w:proofErr w:type="spellEnd"/>
      <w:r w:rsidR="0015623F" w:rsidRPr="00BB46BD">
        <w:rPr>
          <w:rFonts w:ascii="Arial" w:hAnsi="Arial" w:cs="Arial"/>
          <w:sz w:val="20"/>
          <w:szCs w:val="20"/>
        </w:rPr>
        <w:t xml:space="preserve"> (4 a 5mg/Kg/dia em 2 doses, máximo de 200mg/dia)</w:t>
      </w:r>
    </w:p>
    <w:p w14:paraId="7DF84357" w14:textId="77777777" w:rsidR="00BB46BD" w:rsidRPr="00BB46BD" w:rsidRDefault="0015623F" w:rsidP="00BB46BD">
      <w:pPr>
        <w:pStyle w:val="PargrafodaLista"/>
        <w:numPr>
          <w:ilvl w:val="0"/>
          <w:numId w:val="20"/>
        </w:numPr>
        <w:spacing w:line="276" w:lineRule="auto"/>
        <w:jc w:val="both"/>
        <w:rPr>
          <w:rFonts w:ascii="Arial" w:hAnsi="Arial" w:cs="Arial"/>
          <w:sz w:val="20"/>
          <w:szCs w:val="20"/>
        </w:rPr>
      </w:pPr>
      <w:r w:rsidRPr="00BB46BD">
        <w:rPr>
          <w:rFonts w:ascii="Arial" w:hAnsi="Arial" w:cs="Arial"/>
          <w:b/>
          <w:sz w:val="24"/>
          <w:szCs w:val="24"/>
        </w:rPr>
        <w:t xml:space="preserve">Dor abdominal: </w:t>
      </w:r>
    </w:p>
    <w:p w14:paraId="383C6C6C" w14:textId="77777777" w:rsidR="0015623F" w:rsidRPr="00BB46BD" w:rsidRDefault="00BB46BD" w:rsidP="00BB46BD">
      <w:pPr>
        <w:spacing w:line="276" w:lineRule="auto"/>
        <w:jc w:val="both"/>
        <w:rPr>
          <w:rFonts w:ascii="Arial" w:hAnsi="Arial" w:cs="Arial"/>
          <w:sz w:val="20"/>
          <w:szCs w:val="20"/>
        </w:rPr>
      </w:pPr>
      <w:r w:rsidRPr="00BB46BD">
        <w:rPr>
          <w:rFonts w:ascii="Arial" w:hAnsi="Arial" w:cs="Arial"/>
          <w:sz w:val="20"/>
          <w:szCs w:val="20"/>
        </w:rPr>
        <w:t>T</w:t>
      </w:r>
      <w:r w:rsidR="0015623F" w:rsidRPr="00BB46BD">
        <w:rPr>
          <w:rFonts w:ascii="Arial" w:hAnsi="Arial" w:cs="Arial"/>
          <w:sz w:val="20"/>
          <w:szCs w:val="20"/>
        </w:rPr>
        <w:t xml:space="preserve">em boa resposta a </w:t>
      </w:r>
      <w:proofErr w:type="spellStart"/>
      <w:r w:rsidR="0015623F" w:rsidRPr="00BB46BD">
        <w:rPr>
          <w:rFonts w:ascii="Arial" w:hAnsi="Arial" w:cs="Arial"/>
          <w:sz w:val="20"/>
          <w:szCs w:val="20"/>
        </w:rPr>
        <w:t>ranitidina</w:t>
      </w:r>
      <w:proofErr w:type="spellEnd"/>
      <w:r w:rsidR="0015623F" w:rsidRPr="00BB46BD">
        <w:rPr>
          <w:rFonts w:ascii="Arial" w:hAnsi="Arial" w:cs="Arial"/>
          <w:sz w:val="20"/>
          <w:szCs w:val="20"/>
        </w:rPr>
        <w:t xml:space="preserve">, podendo ou não ser associada aos </w:t>
      </w:r>
      <w:proofErr w:type="spellStart"/>
      <w:r w:rsidR="0015623F" w:rsidRPr="00BB46BD">
        <w:rPr>
          <w:rFonts w:ascii="Arial" w:hAnsi="Arial" w:cs="Arial"/>
          <w:sz w:val="20"/>
          <w:szCs w:val="20"/>
        </w:rPr>
        <w:t>corticóides</w:t>
      </w:r>
      <w:proofErr w:type="spellEnd"/>
      <w:r w:rsidR="0015623F" w:rsidRPr="00BB46BD">
        <w:rPr>
          <w:rFonts w:ascii="Arial" w:hAnsi="Arial" w:cs="Arial"/>
          <w:sz w:val="20"/>
          <w:szCs w:val="20"/>
        </w:rPr>
        <w:t xml:space="preserve">. Os corticoides, Prednisona (1 a 2 mg/Kg/dia), </w:t>
      </w:r>
      <w:proofErr w:type="spellStart"/>
      <w:r w:rsidR="0015623F" w:rsidRPr="00BB46BD">
        <w:rPr>
          <w:rFonts w:ascii="Arial" w:hAnsi="Arial" w:cs="Arial"/>
          <w:sz w:val="20"/>
          <w:szCs w:val="20"/>
        </w:rPr>
        <w:t>Prednisolona</w:t>
      </w:r>
      <w:proofErr w:type="spellEnd"/>
      <w:r w:rsidR="0015623F" w:rsidRPr="00BB46BD">
        <w:rPr>
          <w:rFonts w:ascii="Arial" w:hAnsi="Arial" w:cs="Arial"/>
          <w:sz w:val="20"/>
          <w:szCs w:val="20"/>
        </w:rPr>
        <w:t xml:space="preserve"> (1 a 2 mg/Kg/dia), por 7 a 14 dias e </w:t>
      </w:r>
      <w:proofErr w:type="spellStart"/>
      <w:r w:rsidR="0015623F" w:rsidRPr="00BB46BD">
        <w:rPr>
          <w:rFonts w:ascii="Arial" w:hAnsi="Arial" w:cs="Arial"/>
          <w:sz w:val="20"/>
          <w:szCs w:val="20"/>
        </w:rPr>
        <w:t>Metilprednisolona</w:t>
      </w:r>
      <w:proofErr w:type="spellEnd"/>
      <w:r w:rsidR="0015623F" w:rsidRPr="00BB46BD">
        <w:rPr>
          <w:rFonts w:ascii="Arial" w:hAnsi="Arial" w:cs="Arial"/>
          <w:sz w:val="20"/>
          <w:szCs w:val="20"/>
        </w:rPr>
        <w:t xml:space="preserve"> (30 mg/Kg, em pulsos intravenosos) são utilizados nos casos de dor abdominal refratária, nefrites graves, </w:t>
      </w:r>
      <w:proofErr w:type="spellStart"/>
      <w:r w:rsidR="0015623F" w:rsidRPr="00BB46BD">
        <w:rPr>
          <w:rFonts w:ascii="Arial" w:hAnsi="Arial" w:cs="Arial"/>
          <w:sz w:val="20"/>
          <w:szCs w:val="20"/>
        </w:rPr>
        <w:t>orquite</w:t>
      </w:r>
      <w:proofErr w:type="spellEnd"/>
      <w:r w:rsidR="0015623F" w:rsidRPr="00BB46BD">
        <w:rPr>
          <w:rFonts w:ascii="Arial" w:hAnsi="Arial" w:cs="Arial"/>
          <w:sz w:val="20"/>
          <w:szCs w:val="20"/>
        </w:rPr>
        <w:t>, assim como em outras manifestações graves e raras, com envolvimento neurológico e hemorragia pulmonar.</w:t>
      </w:r>
    </w:p>
    <w:p w14:paraId="011842FB" w14:textId="77777777" w:rsidR="0015623F" w:rsidRPr="00BB46BD" w:rsidRDefault="0015623F" w:rsidP="00BB46BD">
      <w:pPr>
        <w:pStyle w:val="PargrafodaLista"/>
        <w:numPr>
          <w:ilvl w:val="0"/>
          <w:numId w:val="20"/>
        </w:numPr>
        <w:spacing w:line="276" w:lineRule="auto"/>
        <w:jc w:val="both"/>
        <w:rPr>
          <w:rFonts w:ascii="Arial" w:hAnsi="Arial" w:cs="Arial"/>
          <w:b/>
          <w:sz w:val="24"/>
          <w:szCs w:val="24"/>
        </w:rPr>
      </w:pPr>
      <w:r w:rsidRPr="00BB46BD">
        <w:rPr>
          <w:rFonts w:ascii="Arial" w:hAnsi="Arial" w:cs="Arial"/>
          <w:b/>
          <w:sz w:val="24"/>
          <w:szCs w:val="24"/>
        </w:rPr>
        <w:t>Evolução e Prognóstico:</w:t>
      </w:r>
    </w:p>
    <w:p w14:paraId="1ACE3F33" w14:textId="77777777" w:rsidR="0015623F" w:rsidRPr="00BB46BD" w:rsidRDefault="0015623F" w:rsidP="00BB46BD">
      <w:pPr>
        <w:spacing w:line="276" w:lineRule="auto"/>
        <w:jc w:val="both"/>
        <w:rPr>
          <w:rFonts w:ascii="Arial" w:hAnsi="Arial" w:cs="Arial"/>
          <w:sz w:val="20"/>
          <w:szCs w:val="20"/>
        </w:rPr>
      </w:pPr>
      <w:r w:rsidRPr="00BB46BD">
        <w:rPr>
          <w:rFonts w:ascii="Arial" w:hAnsi="Arial" w:cs="Arial"/>
          <w:sz w:val="20"/>
          <w:szCs w:val="20"/>
        </w:rPr>
        <w:t>Geralmente a evolução é boa, apesar das púrpuras poderem recorrer. As manifestações articulares e gastrointestinais costumam se resolver entre 1 a 2 meses. A longo prazo, a preocupação é com os rins. Os pacientes devem ser seguidos ambulatorialmente por período de 5 anos e devem realizar exames de sangue e de urina periodicamente.</w:t>
      </w:r>
    </w:p>
    <w:p w14:paraId="755B3ADA" w14:textId="77777777" w:rsidR="0015623F" w:rsidRPr="00BB46BD" w:rsidRDefault="0015623F" w:rsidP="00BB46BD">
      <w:pPr>
        <w:pStyle w:val="PargrafodaLista"/>
        <w:numPr>
          <w:ilvl w:val="0"/>
          <w:numId w:val="20"/>
        </w:numPr>
        <w:spacing w:line="276" w:lineRule="auto"/>
        <w:jc w:val="both"/>
        <w:rPr>
          <w:rFonts w:ascii="Arial" w:hAnsi="Arial" w:cs="Arial"/>
          <w:b/>
          <w:sz w:val="24"/>
          <w:szCs w:val="24"/>
        </w:rPr>
      </w:pPr>
      <w:r w:rsidRPr="00BB46BD">
        <w:rPr>
          <w:rFonts w:ascii="Arial" w:hAnsi="Arial" w:cs="Arial"/>
          <w:b/>
          <w:sz w:val="24"/>
          <w:szCs w:val="24"/>
        </w:rPr>
        <w:t>Referências bibliográficas:</w:t>
      </w:r>
    </w:p>
    <w:p w14:paraId="47EDB2CC" w14:textId="77777777" w:rsidR="0015623F" w:rsidRPr="00BB46BD" w:rsidRDefault="0015623F" w:rsidP="00BB46BD">
      <w:pPr>
        <w:spacing w:line="276" w:lineRule="auto"/>
        <w:jc w:val="both"/>
        <w:rPr>
          <w:rFonts w:ascii="Arial" w:hAnsi="Arial" w:cs="Arial"/>
          <w:sz w:val="20"/>
          <w:szCs w:val="20"/>
        </w:rPr>
      </w:pPr>
      <w:r w:rsidRPr="00BB46BD">
        <w:rPr>
          <w:rFonts w:ascii="Arial" w:hAnsi="Arial" w:cs="Arial"/>
          <w:sz w:val="20"/>
          <w:szCs w:val="20"/>
        </w:rPr>
        <w:t>1-Oliveira, SKF.; Azevedo, ECL. Reumatologia Pediátrica. 2.</w:t>
      </w:r>
      <w:proofErr w:type="gramStart"/>
      <w:r w:rsidRPr="00BB46BD">
        <w:rPr>
          <w:rFonts w:ascii="Arial" w:hAnsi="Arial" w:cs="Arial"/>
          <w:sz w:val="20"/>
          <w:szCs w:val="20"/>
        </w:rPr>
        <w:t>ed .Rio</w:t>
      </w:r>
      <w:proofErr w:type="gramEnd"/>
      <w:r w:rsidRPr="00BB46BD">
        <w:rPr>
          <w:rFonts w:ascii="Arial" w:hAnsi="Arial" w:cs="Arial"/>
          <w:sz w:val="20"/>
          <w:szCs w:val="20"/>
        </w:rPr>
        <w:t xml:space="preserve"> de Janeiro: </w:t>
      </w:r>
      <w:proofErr w:type="spellStart"/>
      <w:r w:rsidRPr="00BB46BD">
        <w:rPr>
          <w:rFonts w:ascii="Arial" w:hAnsi="Arial" w:cs="Arial"/>
          <w:sz w:val="20"/>
          <w:szCs w:val="20"/>
        </w:rPr>
        <w:t>Revinter</w:t>
      </w:r>
      <w:proofErr w:type="spellEnd"/>
      <w:r w:rsidRPr="00BB46BD">
        <w:rPr>
          <w:rFonts w:ascii="Arial" w:hAnsi="Arial" w:cs="Arial"/>
          <w:sz w:val="20"/>
          <w:szCs w:val="20"/>
        </w:rPr>
        <w:t>, 2001.</w:t>
      </w:r>
    </w:p>
    <w:p w14:paraId="04F10611" w14:textId="77777777" w:rsidR="0015623F" w:rsidRPr="00BB46BD" w:rsidRDefault="0015623F" w:rsidP="00BB46BD">
      <w:pPr>
        <w:spacing w:line="276" w:lineRule="auto"/>
        <w:jc w:val="both"/>
        <w:rPr>
          <w:rFonts w:ascii="Arial" w:hAnsi="Arial" w:cs="Arial"/>
          <w:sz w:val="20"/>
          <w:szCs w:val="20"/>
        </w:rPr>
      </w:pPr>
      <w:r w:rsidRPr="00BB46BD">
        <w:rPr>
          <w:rFonts w:ascii="Arial" w:hAnsi="Arial" w:cs="Arial"/>
          <w:sz w:val="20"/>
          <w:szCs w:val="20"/>
          <w:lang w:val="en-US"/>
        </w:rPr>
        <w:t xml:space="preserve">2-Cassidy, </w:t>
      </w:r>
      <w:proofErr w:type="gramStart"/>
      <w:r w:rsidRPr="00BB46BD">
        <w:rPr>
          <w:rFonts w:ascii="Arial" w:hAnsi="Arial" w:cs="Arial"/>
          <w:sz w:val="20"/>
          <w:szCs w:val="20"/>
          <w:lang w:val="en-US"/>
        </w:rPr>
        <w:t>JT(</w:t>
      </w:r>
      <w:proofErr w:type="spellStart"/>
      <w:proofErr w:type="gramEnd"/>
      <w:r w:rsidRPr="00BB46BD">
        <w:rPr>
          <w:rFonts w:ascii="Arial" w:hAnsi="Arial" w:cs="Arial"/>
          <w:sz w:val="20"/>
          <w:szCs w:val="20"/>
          <w:lang w:val="en-US"/>
        </w:rPr>
        <w:t>coord</w:t>
      </w:r>
      <w:proofErr w:type="spellEnd"/>
      <w:r w:rsidRPr="00BB46BD">
        <w:rPr>
          <w:rFonts w:ascii="Arial" w:hAnsi="Arial" w:cs="Arial"/>
          <w:sz w:val="20"/>
          <w:szCs w:val="20"/>
          <w:lang w:val="en-US"/>
        </w:rPr>
        <w:t xml:space="preserve">). Textbook of Rheumatology. </w:t>
      </w:r>
      <w:r w:rsidRPr="00BB46BD">
        <w:rPr>
          <w:rFonts w:ascii="Arial" w:hAnsi="Arial" w:cs="Arial"/>
          <w:sz w:val="20"/>
          <w:szCs w:val="20"/>
        </w:rPr>
        <w:t>2.</w:t>
      </w:r>
      <w:proofErr w:type="gramStart"/>
      <w:r w:rsidRPr="00BB46BD">
        <w:rPr>
          <w:rFonts w:ascii="Arial" w:hAnsi="Arial" w:cs="Arial"/>
          <w:sz w:val="20"/>
          <w:szCs w:val="20"/>
        </w:rPr>
        <w:t>ed.Philadelphia</w:t>
      </w:r>
      <w:proofErr w:type="gramEnd"/>
      <w:r w:rsidRPr="00BB46BD">
        <w:rPr>
          <w:rFonts w:ascii="Arial" w:hAnsi="Arial" w:cs="Arial"/>
          <w:sz w:val="20"/>
          <w:szCs w:val="20"/>
        </w:rPr>
        <w:t>: Elsevier, 2010.</w:t>
      </w:r>
    </w:p>
    <w:p w14:paraId="2D82785E" w14:textId="77777777" w:rsidR="0015623F" w:rsidRPr="00BB46BD" w:rsidRDefault="0015623F" w:rsidP="00BB46BD">
      <w:pPr>
        <w:spacing w:line="276" w:lineRule="auto"/>
        <w:jc w:val="both"/>
        <w:rPr>
          <w:rFonts w:ascii="Arial" w:hAnsi="Arial" w:cs="Arial"/>
          <w:sz w:val="20"/>
          <w:szCs w:val="20"/>
        </w:rPr>
      </w:pPr>
      <w:r w:rsidRPr="00BB46BD">
        <w:rPr>
          <w:rFonts w:ascii="Arial" w:hAnsi="Arial" w:cs="Arial"/>
          <w:sz w:val="20"/>
          <w:szCs w:val="20"/>
        </w:rPr>
        <w:t xml:space="preserve">3- Silva, </w:t>
      </w:r>
      <w:proofErr w:type="gramStart"/>
      <w:r w:rsidRPr="00BB46BD">
        <w:rPr>
          <w:rFonts w:ascii="Arial" w:hAnsi="Arial" w:cs="Arial"/>
          <w:sz w:val="20"/>
          <w:szCs w:val="20"/>
        </w:rPr>
        <w:t>CAA(</w:t>
      </w:r>
      <w:proofErr w:type="spellStart"/>
      <w:proofErr w:type="gramEnd"/>
      <w:r w:rsidRPr="00BB46BD">
        <w:rPr>
          <w:rFonts w:ascii="Arial" w:hAnsi="Arial" w:cs="Arial"/>
          <w:sz w:val="20"/>
          <w:szCs w:val="20"/>
        </w:rPr>
        <w:t>coord</w:t>
      </w:r>
      <w:proofErr w:type="spellEnd"/>
      <w:r w:rsidRPr="00BB46BD">
        <w:rPr>
          <w:rFonts w:ascii="Arial" w:hAnsi="Arial" w:cs="Arial"/>
          <w:sz w:val="20"/>
          <w:szCs w:val="20"/>
        </w:rPr>
        <w:t>). Instituto da Criança Hospital das Clínicas FMUSP. Departamento de Pediatria. Doenças Reumáticas na Criança e no Adolescente. 1. ed. São Paulo: Manole, 2006.</w:t>
      </w:r>
    </w:p>
    <w:p w14:paraId="01507EDA" w14:textId="77777777" w:rsidR="0015623F" w:rsidRPr="00BB46BD" w:rsidRDefault="0015623F" w:rsidP="00BB46BD">
      <w:pPr>
        <w:spacing w:line="276" w:lineRule="auto"/>
        <w:jc w:val="both"/>
        <w:rPr>
          <w:rFonts w:ascii="Arial" w:hAnsi="Arial" w:cs="Arial"/>
          <w:sz w:val="20"/>
          <w:szCs w:val="20"/>
        </w:rPr>
      </w:pPr>
      <w:r w:rsidRPr="00BB46BD">
        <w:rPr>
          <w:rFonts w:ascii="Arial" w:hAnsi="Arial" w:cs="Arial"/>
          <w:sz w:val="20"/>
          <w:szCs w:val="20"/>
        </w:rPr>
        <w:lastRenderedPageBreak/>
        <w:t xml:space="preserve">4- </w:t>
      </w:r>
      <w:proofErr w:type="spellStart"/>
      <w:r w:rsidRPr="00BB46BD">
        <w:rPr>
          <w:rFonts w:ascii="Arial" w:hAnsi="Arial" w:cs="Arial"/>
          <w:sz w:val="20"/>
          <w:szCs w:val="20"/>
        </w:rPr>
        <w:t>Naspitz</w:t>
      </w:r>
      <w:proofErr w:type="spellEnd"/>
      <w:r w:rsidRPr="00BB46BD">
        <w:rPr>
          <w:rFonts w:ascii="Arial" w:hAnsi="Arial" w:cs="Arial"/>
          <w:sz w:val="20"/>
          <w:szCs w:val="20"/>
        </w:rPr>
        <w:t xml:space="preserve">, </w:t>
      </w:r>
      <w:proofErr w:type="gramStart"/>
      <w:r w:rsidRPr="00BB46BD">
        <w:rPr>
          <w:rFonts w:ascii="Arial" w:hAnsi="Arial" w:cs="Arial"/>
          <w:sz w:val="20"/>
          <w:szCs w:val="20"/>
        </w:rPr>
        <w:t>CK(</w:t>
      </w:r>
      <w:proofErr w:type="spellStart"/>
      <w:proofErr w:type="gramEnd"/>
      <w:r w:rsidRPr="00BB46BD">
        <w:rPr>
          <w:rFonts w:ascii="Arial" w:hAnsi="Arial" w:cs="Arial"/>
          <w:sz w:val="20"/>
          <w:szCs w:val="20"/>
        </w:rPr>
        <w:t>coord</w:t>
      </w:r>
      <w:proofErr w:type="spellEnd"/>
      <w:r w:rsidRPr="00BB46BD">
        <w:rPr>
          <w:rFonts w:ascii="Arial" w:hAnsi="Arial" w:cs="Arial"/>
          <w:sz w:val="20"/>
          <w:szCs w:val="20"/>
        </w:rPr>
        <w:t>). Guias de Medicina Ambulatorial e Hospitalar UNIFESP. Alergia, Imunologia e Reumatologia em Pediatria.1. ed. São Paulo: Manole, 2006.</w:t>
      </w:r>
    </w:p>
    <w:p w14:paraId="081F165D" w14:textId="77777777" w:rsidR="0015623F" w:rsidRPr="00BB46BD" w:rsidRDefault="0015623F" w:rsidP="00BB46BD">
      <w:pPr>
        <w:spacing w:line="276" w:lineRule="auto"/>
        <w:jc w:val="both"/>
        <w:rPr>
          <w:rFonts w:ascii="Arial" w:hAnsi="Arial" w:cs="Arial"/>
          <w:sz w:val="20"/>
          <w:szCs w:val="20"/>
        </w:rPr>
      </w:pPr>
      <w:r w:rsidRPr="00BB46BD">
        <w:rPr>
          <w:rFonts w:ascii="Arial" w:hAnsi="Arial" w:cs="Arial"/>
          <w:sz w:val="20"/>
          <w:szCs w:val="20"/>
        </w:rPr>
        <w:t xml:space="preserve">5- Oliveira, </w:t>
      </w:r>
      <w:proofErr w:type="spellStart"/>
      <w:r w:rsidRPr="00BB46BD">
        <w:rPr>
          <w:rFonts w:ascii="Arial" w:hAnsi="Arial" w:cs="Arial"/>
          <w:sz w:val="20"/>
          <w:szCs w:val="20"/>
        </w:rPr>
        <w:t>SKF.Reumatologia</w:t>
      </w:r>
      <w:proofErr w:type="spellEnd"/>
      <w:r w:rsidRPr="00BB46BD">
        <w:rPr>
          <w:rFonts w:ascii="Arial" w:hAnsi="Arial" w:cs="Arial"/>
          <w:sz w:val="20"/>
          <w:szCs w:val="20"/>
        </w:rPr>
        <w:t xml:space="preserve"> para Pediatras. 1.</w:t>
      </w:r>
      <w:proofErr w:type="gramStart"/>
      <w:r w:rsidRPr="00BB46BD">
        <w:rPr>
          <w:rFonts w:ascii="Arial" w:hAnsi="Arial" w:cs="Arial"/>
          <w:sz w:val="20"/>
          <w:szCs w:val="20"/>
        </w:rPr>
        <w:t>ed .Rio</w:t>
      </w:r>
      <w:proofErr w:type="gramEnd"/>
      <w:r w:rsidRPr="00BB46BD">
        <w:rPr>
          <w:rFonts w:ascii="Arial" w:hAnsi="Arial" w:cs="Arial"/>
          <w:sz w:val="20"/>
          <w:szCs w:val="20"/>
        </w:rPr>
        <w:t xml:space="preserve"> de Janeiro: </w:t>
      </w:r>
      <w:proofErr w:type="spellStart"/>
      <w:r w:rsidRPr="00BB46BD">
        <w:rPr>
          <w:rFonts w:ascii="Arial" w:hAnsi="Arial" w:cs="Arial"/>
          <w:sz w:val="20"/>
          <w:szCs w:val="20"/>
        </w:rPr>
        <w:t>Revinter</w:t>
      </w:r>
      <w:proofErr w:type="spellEnd"/>
      <w:r w:rsidRPr="00BB46BD">
        <w:rPr>
          <w:rFonts w:ascii="Arial" w:hAnsi="Arial" w:cs="Arial"/>
          <w:sz w:val="20"/>
          <w:szCs w:val="20"/>
        </w:rPr>
        <w:t>, 2003.</w:t>
      </w:r>
    </w:p>
    <w:p w14:paraId="2BA9A4DC" w14:textId="77777777" w:rsidR="0015623F" w:rsidRPr="00BB46BD" w:rsidRDefault="0015623F" w:rsidP="00BB46BD">
      <w:pPr>
        <w:spacing w:line="276" w:lineRule="auto"/>
        <w:jc w:val="both"/>
        <w:rPr>
          <w:rFonts w:ascii="Arial" w:hAnsi="Arial" w:cs="Arial"/>
          <w:sz w:val="20"/>
          <w:szCs w:val="20"/>
        </w:rPr>
      </w:pPr>
      <w:r w:rsidRPr="00BB46BD">
        <w:rPr>
          <w:rFonts w:ascii="Arial" w:hAnsi="Arial" w:cs="Arial"/>
          <w:sz w:val="20"/>
          <w:szCs w:val="20"/>
        </w:rPr>
        <w:t>6- Oliveira, SKF; Rodrigues, MCF. Reumatologia na Prática para Pediatras. 1.</w:t>
      </w:r>
      <w:proofErr w:type="gramStart"/>
      <w:r w:rsidRPr="00BB46BD">
        <w:rPr>
          <w:rFonts w:ascii="Arial" w:hAnsi="Arial" w:cs="Arial"/>
          <w:sz w:val="20"/>
          <w:szCs w:val="20"/>
        </w:rPr>
        <w:t>ed .Rio</w:t>
      </w:r>
      <w:proofErr w:type="gramEnd"/>
      <w:r w:rsidRPr="00BB46BD">
        <w:rPr>
          <w:rFonts w:ascii="Arial" w:hAnsi="Arial" w:cs="Arial"/>
          <w:sz w:val="20"/>
          <w:szCs w:val="20"/>
        </w:rPr>
        <w:t xml:space="preserve"> de Janeiro: </w:t>
      </w:r>
      <w:proofErr w:type="spellStart"/>
      <w:r w:rsidRPr="00BB46BD">
        <w:rPr>
          <w:rFonts w:ascii="Arial" w:hAnsi="Arial" w:cs="Arial"/>
          <w:sz w:val="20"/>
          <w:szCs w:val="20"/>
        </w:rPr>
        <w:t>Revinter</w:t>
      </w:r>
      <w:proofErr w:type="spellEnd"/>
      <w:r w:rsidRPr="00BB46BD">
        <w:rPr>
          <w:rFonts w:ascii="Arial" w:hAnsi="Arial" w:cs="Arial"/>
          <w:sz w:val="20"/>
          <w:szCs w:val="20"/>
        </w:rPr>
        <w:t>, 2010</w:t>
      </w:r>
    </w:p>
    <w:p w14:paraId="26265E4F" w14:textId="77777777" w:rsidR="0015623F" w:rsidRPr="00BB46BD" w:rsidRDefault="0015623F" w:rsidP="00BB46BD">
      <w:pPr>
        <w:spacing w:line="276" w:lineRule="auto"/>
        <w:jc w:val="both"/>
        <w:rPr>
          <w:rFonts w:ascii="Arial" w:hAnsi="Arial" w:cs="Arial"/>
          <w:sz w:val="20"/>
          <w:szCs w:val="20"/>
        </w:rPr>
      </w:pPr>
      <w:r w:rsidRPr="00BB46BD">
        <w:rPr>
          <w:rFonts w:ascii="Arial" w:hAnsi="Arial" w:cs="Arial"/>
          <w:sz w:val="20"/>
          <w:szCs w:val="20"/>
        </w:rPr>
        <w:t xml:space="preserve">7-Terreri, MTRA; </w:t>
      </w:r>
      <w:proofErr w:type="spellStart"/>
      <w:r w:rsidRPr="00BB46BD">
        <w:rPr>
          <w:rFonts w:ascii="Arial" w:hAnsi="Arial" w:cs="Arial"/>
          <w:sz w:val="20"/>
          <w:szCs w:val="20"/>
        </w:rPr>
        <w:t>Sacchetti</w:t>
      </w:r>
      <w:proofErr w:type="spellEnd"/>
      <w:r w:rsidRPr="00BB46BD">
        <w:rPr>
          <w:rFonts w:ascii="Arial" w:hAnsi="Arial" w:cs="Arial"/>
          <w:sz w:val="20"/>
          <w:szCs w:val="20"/>
        </w:rPr>
        <w:t>, SB. Reumatologia para o Pediatra. Sociedade de Pediatria de São Paulo, Departamento de Pediatria. 1.ed. São Paulo: Atheneu, 2008.</w:t>
      </w:r>
    </w:p>
    <w:p w14:paraId="28FCB862" w14:textId="77777777" w:rsidR="0015623F" w:rsidRPr="00BB46BD" w:rsidRDefault="0015623F" w:rsidP="00BB46BD">
      <w:pPr>
        <w:spacing w:line="276" w:lineRule="auto"/>
        <w:jc w:val="both"/>
        <w:rPr>
          <w:rFonts w:ascii="Arial" w:hAnsi="Arial" w:cs="Arial"/>
          <w:sz w:val="20"/>
          <w:szCs w:val="20"/>
        </w:rPr>
      </w:pPr>
      <w:r w:rsidRPr="00BB46BD">
        <w:rPr>
          <w:rFonts w:ascii="Arial" w:hAnsi="Arial" w:cs="Arial"/>
          <w:sz w:val="20"/>
          <w:szCs w:val="20"/>
        </w:rPr>
        <w:t xml:space="preserve">8-Almeida, JLJ, et al. Envolvimento renal na Púrpura de </w:t>
      </w:r>
      <w:proofErr w:type="spellStart"/>
      <w:r w:rsidRPr="00BB46BD">
        <w:rPr>
          <w:rFonts w:ascii="Arial" w:hAnsi="Arial" w:cs="Arial"/>
          <w:sz w:val="20"/>
          <w:szCs w:val="20"/>
        </w:rPr>
        <w:t>Henoch</w:t>
      </w:r>
      <w:proofErr w:type="spellEnd"/>
      <w:r w:rsidRPr="00BB46BD">
        <w:rPr>
          <w:rFonts w:ascii="Arial" w:hAnsi="Arial" w:cs="Arial"/>
          <w:sz w:val="20"/>
          <w:szCs w:val="20"/>
        </w:rPr>
        <w:t xml:space="preserve"> </w:t>
      </w:r>
      <w:proofErr w:type="spellStart"/>
      <w:r w:rsidRPr="00BB46BD">
        <w:rPr>
          <w:rFonts w:ascii="Arial" w:hAnsi="Arial" w:cs="Arial"/>
          <w:sz w:val="20"/>
          <w:szCs w:val="20"/>
        </w:rPr>
        <w:t>Shönlein</w:t>
      </w:r>
      <w:proofErr w:type="spellEnd"/>
      <w:r w:rsidRPr="00BB46BD">
        <w:rPr>
          <w:rFonts w:ascii="Arial" w:hAnsi="Arial" w:cs="Arial"/>
          <w:sz w:val="20"/>
          <w:szCs w:val="20"/>
        </w:rPr>
        <w:t xml:space="preserve">: uma análise multivariada de fatores prognósticos iniciais. J </w:t>
      </w:r>
      <w:proofErr w:type="spellStart"/>
      <w:r w:rsidRPr="00BB46BD">
        <w:rPr>
          <w:rFonts w:ascii="Arial" w:hAnsi="Arial" w:cs="Arial"/>
          <w:sz w:val="20"/>
          <w:szCs w:val="20"/>
        </w:rPr>
        <w:t>Pediatr</w:t>
      </w:r>
      <w:proofErr w:type="spellEnd"/>
      <w:r w:rsidRPr="00BB46BD">
        <w:rPr>
          <w:rFonts w:ascii="Arial" w:hAnsi="Arial" w:cs="Arial"/>
          <w:sz w:val="20"/>
          <w:szCs w:val="20"/>
        </w:rPr>
        <w:t xml:space="preserve"> (Rio J.); 83(3):259-266, 2007.</w:t>
      </w:r>
    </w:p>
    <w:p w14:paraId="7005E7AD" w14:textId="77777777" w:rsidR="0070569D" w:rsidRDefault="0070569D" w:rsidP="0070569D">
      <w:pPr>
        <w:spacing w:line="276" w:lineRule="auto"/>
        <w:jc w:val="both"/>
        <w:rPr>
          <w:rFonts w:ascii="Arial" w:hAnsi="Arial" w:cs="Arial"/>
          <w:bCs/>
          <w:sz w:val="20"/>
          <w:szCs w:val="20"/>
        </w:rPr>
      </w:pPr>
    </w:p>
    <w:p w14:paraId="0FFD643D" w14:textId="11FE9E27" w:rsidR="0015623F" w:rsidRPr="0070569D" w:rsidRDefault="0070569D" w:rsidP="0070569D">
      <w:pPr>
        <w:spacing w:line="276" w:lineRule="auto"/>
        <w:jc w:val="both"/>
        <w:rPr>
          <w:rFonts w:ascii="Arial" w:hAnsi="Arial" w:cs="Arial"/>
          <w:sz w:val="20"/>
          <w:szCs w:val="20"/>
        </w:rPr>
      </w:pPr>
      <w:r w:rsidRPr="0070569D">
        <w:rPr>
          <w:rFonts w:ascii="Arial" w:hAnsi="Arial" w:cs="Arial"/>
          <w:bCs/>
          <w:sz w:val="20"/>
          <w:szCs w:val="20"/>
        </w:rPr>
        <w:t xml:space="preserve">Responsável pela elaboração da rotina: </w:t>
      </w:r>
      <w:r w:rsidR="0015623F" w:rsidRPr="0070569D">
        <w:rPr>
          <w:rFonts w:ascii="Arial" w:hAnsi="Arial" w:cs="Arial"/>
          <w:sz w:val="20"/>
          <w:szCs w:val="20"/>
        </w:rPr>
        <w:t xml:space="preserve">Dra. </w:t>
      </w:r>
      <w:proofErr w:type="spellStart"/>
      <w:r w:rsidR="0015623F" w:rsidRPr="0070569D">
        <w:rPr>
          <w:rFonts w:ascii="Arial" w:hAnsi="Arial" w:cs="Arial"/>
          <w:sz w:val="20"/>
          <w:szCs w:val="20"/>
        </w:rPr>
        <w:t>Dania</w:t>
      </w:r>
      <w:proofErr w:type="spellEnd"/>
      <w:r w:rsidR="0015623F" w:rsidRPr="0070569D">
        <w:rPr>
          <w:rFonts w:ascii="Arial" w:hAnsi="Arial" w:cs="Arial"/>
          <w:sz w:val="20"/>
          <w:szCs w:val="20"/>
        </w:rPr>
        <w:t xml:space="preserve"> Lemos </w:t>
      </w:r>
      <w:proofErr w:type="spellStart"/>
      <w:r w:rsidR="0015623F" w:rsidRPr="0070569D">
        <w:rPr>
          <w:rFonts w:ascii="Arial" w:hAnsi="Arial" w:cs="Arial"/>
          <w:sz w:val="20"/>
          <w:szCs w:val="20"/>
        </w:rPr>
        <w:t>Dionízio</w:t>
      </w:r>
      <w:proofErr w:type="spellEnd"/>
    </w:p>
    <w:p w14:paraId="06FB22B0" w14:textId="77777777" w:rsidR="0015623F" w:rsidRPr="00BB46BD" w:rsidRDefault="0015623F" w:rsidP="00BB46BD">
      <w:pPr>
        <w:spacing w:line="276" w:lineRule="auto"/>
        <w:jc w:val="both"/>
        <w:rPr>
          <w:rFonts w:ascii="Arial" w:hAnsi="Arial" w:cs="Arial"/>
          <w:sz w:val="20"/>
          <w:szCs w:val="20"/>
        </w:rPr>
      </w:pPr>
    </w:p>
    <w:p w14:paraId="6B6E7457" w14:textId="77777777" w:rsidR="002220F4" w:rsidRPr="00BB46BD" w:rsidRDefault="002220F4" w:rsidP="00BB46BD">
      <w:pPr>
        <w:spacing w:line="276" w:lineRule="auto"/>
        <w:jc w:val="both"/>
        <w:rPr>
          <w:rFonts w:ascii="Arial" w:hAnsi="Arial" w:cs="Arial"/>
          <w:sz w:val="20"/>
          <w:szCs w:val="20"/>
        </w:rPr>
      </w:pPr>
    </w:p>
    <w:p w14:paraId="07723139" w14:textId="77777777" w:rsidR="00E71C89" w:rsidRPr="00BB46BD" w:rsidRDefault="00E71C89" w:rsidP="00BB46BD">
      <w:pPr>
        <w:spacing w:line="276" w:lineRule="auto"/>
        <w:jc w:val="both"/>
        <w:rPr>
          <w:rFonts w:ascii="Arial" w:hAnsi="Arial" w:cs="Arial"/>
          <w:sz w:val="20"/>
          <w:szCs w:val="20"/>
        </w:rPr>
      </w:pPr>
    </w:p>
    <w:p w14:paraId="42D6FA19" w14:textId="77777777" w:rsidR="00FF74C1" w:rsidRPr="00BB46BD" w:rsidRDefault="00FF74C1" w:rsidP="00BB46BD">
      <w:pPr>
        <w:spacing w:line="276" w:lineRule="auto"/>
        <w:jc w:val="both"/>
        <w:rPr>
          <w:rFonts w:ascii="Arial" w:hAnsi="Arial" w:cs="Arial"/>
          <w:sz w:val="20"/>
          <w:szCs w:val="20"/>
        </w:rPr>
      </w:pPr>
    </w:p>
    <w:p w14:paraId="4C45793B" w14:textId="77777777" w:rsidR="00FF74C1" w:rsidRPr="00BB46BD" w:rsidRDefault="00FF74C1" w:rsidP="00BB46BD">
      <w:pPr>
        <w:spacing w:line="276" w:lineRule="auto"/>
        <w:jc w:val="both"/>
        <w:rPr>
          <w:rFonts w:ascii="Arial" w:hAnsi="Arial" w:cs="Arial"/>
          <w:sz w:val="20"/>
          <w:szCs w:val="20"/>
        </w:rPr>
      </w:pPr>
    </w:p>
    <w:p w14:paraId="2048B8B5" w14:textId="77777777" w:rsidR="00FF74C1" w:rsidRPr="00BB46BD" w:rsidRDefault="00FF74C1" w:rsidP="00BB46BD">
      <w:pPr>
        <w:spacing w:line="276" w:lineRule="auto"/>
        <w:jc w:val="both"/>
        <w:rPr>
          <w:rFonts w:ascii="Arial" w:hAnsi="Arial" w:cs="Arial"/>
          <w:sz w:val="20"/>
          <w:szCs w:val="20"/>
        </w:rPr>
      </w:pPr>
    </w:p>
    <w:p w14:paraId="20E2BD4A" w14:textId="77777777" w:rsidR="00FF74C1" w:rsidRPr="00BB46BD" w:rsidRDefault="00FF74C1" w:rsidP="00BB46BD">
      <w:pPr>
        <w:spacing w:line="276" w:lineRule="auto"/>
        <w:jc w:val="both"/>
        <w:rPr>
          <w:rFonts w:ascii="Arial" w:hAnsi="Arial" w:cs="Arial"/>
          <w:sz w:val="20"/>
          <w:szCs w:val="20"/>
        </w:rPr>
      </w:pPr>
    </w:p>
    <w:p w14:paraId="358488F0" w14:textId="77777777" w:rsidR="00E10019" w:rsidRPr="00BB46BD" w:rsidRDefault="00E10019" w:rsidP="00BB46BD">
      <w:pPr>
        <w:spacing w:line="276" w:lineRule="auto"/>
        <w:jc w:val="both"/>
        <w:rPr>
          <w:rFonts w:ascii="Arial" w:hAnsi="Arial" w:cs="Arial"/>
          <w:sz w:val="20"/>
          <w:szCs w:val="20"/>
        </w:rPr>
      </w:pPr>
    </w:p>
    <w:p w14:paraId="38863CD9" w14:textId="77777777" w:rsidR="00250F4B" w:rsidRPr="00BB46BD" w:rsidRDefault="00250F4B" w:rsidP="00BB46BD">
      <w:pPr>
        <w:spacing w:line="276" w:lineRule="auto"/>
        <w:jc w:val="both"/>
        <w:rPr>
          <w:rFonts w:ascii="Arial" w:hAnsi="Arial" w:cs="Arial"/>
          <w:sz w:val="20"/>
          <w:szCs w:val="20"/>
        </w:rPr>
      </w:pPr>
    </w:p>
    <w:p w14:paraId="10D92C9F" w14:textId="77777777" w:rsidR="00FF74C1" w:rsidRPr="00BB46BD" w:rsidRDefault="00FF74C1" w:rsidP="00BB46BD">
      <w:pPr>
        <w:spacing w:line="276" w:lineRule="auto"/>
        <w:jc w:val="both"/>
        <w:rPr>
          <w:rFonts w:ascii="Arial" w:hAnsi="Arial" w:cs="Arial"/>
          <w:sz w:val="20"/>
          <w:szCs w:val="20"/>
        </w:rPr>
      </w:pPr>
    </w:p>
    <w:p w14:paraId="769196CA" w14:textId="77777777" w:rsidR="00FF74C1" w:rsidRPr="00BB46BD" w:rsidRDefault="00FF74C1" w:rsidP="00BB46BD">
      <w:pPr>
        <w:spacing w:line="276" w:lineRule="auto"/>
        <w:jc w:val="both"/>
        <w:rPr>
          <w:rFonts w:ascii="Arial" w:hAnsi="Arial" w:cs="Arial"/>
          <w:sz w:val="20"/>
          <w:szCs w:val="20"/>
        </w:rPr>
      </w:pPr>
    </w:p>
    <w:p w14:paraId="4A52CB14" w14:textId="77777777" w:rsidR="00FF74C1" w:rsidRPr="00BB46BD" w:rsidRDefault="00FF74C1" w:rsidP="00BB46BD">
      <w:pPr>
        <w:spacing w:line="276" w:lineRule="auto"/>
        <w:jc w:val="both"/>
        <w:rPr>
          <w:rFonts w:ascii="Arial" w:hAnsi="Arial" w:cs="Arial"/>
          <w:sz w:val="20"/>
          <w:szCs w:val="20"/>
        </w:rPr>
      </w:pPr>
    </w:p>
    <w:p w14:paraId="6545964E" w14:textId="77777777" w:rsidR="00FF74C1" w:rsidRPr="00BB46BD" w:rsidRDefault="00FF74C1" w:rsidP="00BB46BD">
      <w:pPr>
        <w:spacing w:line="276" w:lineRule="auto"/>
        <w:jc w:val="both"/>
        <w:rPr>
          <w:rFonts w:ascii="Arial" w:hAnsi="Arial" w:cs="Arial"/>
          <w:sz w:val="20"/>
          <w:szCs w:val="20"/>
        </w:rPr>
      </w:pPr>
    </w:p>
    <w:p w14:paraId="39A41896" w14:textId="77777777" w:rsidR="00FF74C1" w:rsidRPr="00BB46BD" w:rsidRDefault="00FF74C1" w:rsidP="00BB46BD">
      <w:pPr>
        <w:spacing w:line="276" w:lineRule="auto"/>
        <w:jc w:val="both"/>
        <w:rPr>
          <w:rFonts w:ascii="Arial" w:hAnsi="Arial" w:cs="Arial"/>
          <w:sz w:val="20"/>
          <w:szCs w:val="20"/>
        </w:rPr>
      </w:pPr>
    </w:p>
    <w:p w14:paraId="674FFBB2" w14:textId="77777777" w:rsidR="00FF74C1" w:rsidRPr="00BB46BD" w:rsidRDefault="00FF74C1" w:rsidP="00BB46BD">
      <w:pPr>
        <w:spacing w:line="276" w:lineRule="auto"/>
        <w:jc w:val="both"/>
        <w:rPr>
          <w:rFonts w:ascii="Arial" w:hAnsi="Arial" w:cs="Arial"/>
          <w:sz w:val="20"/>
          <w:szCs w:val="20"/>
        </w:rPr>
      </w:pPr>
    </w:p>
    <w:p w14:paraId="0277C744" w14:textId="77777777" w:rsidR="00FF74C1" w:rsidRPr="00BB46BD" w:rsidRDefault="00FF74C1" w:rsidP="00BB46BD">
      <w:pPr>
        <w:spacing w:line="276" w:lineRule="auto"/>
        <w:jc w:val="both"/>
        <w:rPr>
          <w:rFonts w:ascii="Arial" w:hAnsi="Arial" w:cs="Arial"/>
          <w:sz w:val="20"/>
          <w:szCs w:val="20"/>
        </w:rPr>
      </w:pPr>
    </w:p>
    <w:p w14:paraId="482428E2" w14:textId="77777777" w:rsidR="00FF74C1" w:rsidRPr="00BB46BD" w:rsidRDefault="00FF74C1" w:rsidP="00BB46BD">
      <w:pPr>
        <w:spacing w:line="276" w:lineRule="auto"/>
        <w:jc w:val="both"/>
        <w:rPr>
          <w:rFonts w:ascii="Arial" w:hAnsi="Arial" w:cs="Arial"/>
          <w:sz w:val="20"/>
          <w:szCs w:val="20"/>
        </w:rPr>
      </w:pPr>
    </w:p>
    <w:p w14:paraId="2E415440" w14:textId="77777777" w:rsidR="00FF74C1" w:rsidRPr="00BB46BD" w:rsidRDefault="00FF74C1" w:rsidP="00BB46BD">
      <w:pPr>
        <w:spacing w:line="276" w:lineRule="auto"/>
        <w:jc w:val="both"/>
        <w:rPr>
          <w:rFonts w:ascii="Arial" w:hAnsi="Arial" w:cs="Arial"/>
          <w:sz w:val="20"/>
          <w:szCs w:val="20"/>
        </w:rPr>
      </w:pPr>
    </w:p>
    <w:p w14:paraId="1B49E62E" w14:textId="77777777" w:rsidR="00FF74C1" w:rsidRPr="00BB46BD" w:rsidRDefault="00FF74C1" w:rsidP="00BB46BD">
      <w:pPr>
        <w:spacing w:line="276" w:lineRule="auto"/>
        <w:jc w:val="both"/>
        <w:rPr>
          <w:rFonts w:ascii="Arial" w:hAnsi="Arial" w:cs="Arial"/>
          <w:sz w:val="20"/>
          <w:szCs w:val="20"/>
        </w:rPr>
      </w:pPr>
    </w:p>
    <w:p w14:paraId="7D103EC2" w14:textId="77777777" w:rsidR="00FF74C1" w:rsidRPr="00BB46BD" w:rsidRDefault="00FF74C1" w:rsidP="00BB46BD">
      <w:pPr>
        <w:spacing w:line="276" w:lineRule="auto"/>
        <w:jc w:val="both"/>
        <w:rPr>
          <w:rFonts w:ascii="Arial" w:hAnsi="Arial" w:cs="Arial"/>
          <w:sz w:val="20"/>
          <w:szCs w:val="20"/>
        </w:rPr>
      </w:pPr>
    </w:p>
    <w:p w14:paraId="7344A6B0" w14:textId="77777777" w:rsidR="00FF74C1" w:rsidRPr="00BB46BD" w:rsidRDefault="00FF74C1" w:rsidP="00BB46BD">
      <w:pPr>
        <w:spacing w:line="276" w:lineRule="auto"/>
        <w:jc w:val="both"/>
        <w:rPr>
          <w:rFonts w:ascii="Arial" w:hAnsi="Arial" w:cs="Arial"/>
          <w:sz w:val="20"/>
          <w:szCs w:val="20"/>
        </w:rPr>
      </w:pPr>
    </w:p>
    <w:p w14:paraId="2BBBA4DA" w14:textId="77777777" w:rsidR="00FF74C1" w:rsidRPr="00BB46BD" w:rsidRDefault="00FF74C1" w:rsidP="00BB46BD">
      <w:pPr>
        <w:spacing w:line="276" w:lineRule="auto"/>
        <w:jc w:val="both"/>
        <w:rPr>
          <w:rFonts w:ascii="Arial" w:hAnsi="Arial" w:cs="Arial"/>
          <w:sz w:val="20"/>
          <w:szCs w:val="20"/>
        </w:rPr>
      </w:pPr>
    </w:p>
    <w:p w14:paraId="58AFFCDC" w14:textId="77777777" w:rsidR="00FF74C1" w:rsidRPr="00BB46BD" w:rsidRDefault="00FF74C1" w:rsidP="00BB46BD">
      <w:pPr>
        <w:spacing w:line="276" w:lineRule="auto"/>
        <w:jc w:val="both"/>
        <w:rPr>
          <w:rFonts w:ascii="Arial" w:hAnsi="Arial" w:cs="Arial"/>
          <w:sz w:val="20"/>
          <w:szCs w:val="20"/>
        </w:rPr>
      </w:pPr>
    </w:p>
    <w:p w14:paraId="72847091" w14:textId="77777777" w:rsidR="00FF74C1" w:rsidRPr="00BB46BD" w:rsidRDefault="00FF74C1" w:rsidP="00BB46BD">
      <w:pPr>
        <w:spacing w:line="276" w:lineRule="auto"/>
        <w:jc w:val="both"/>
        <w:rPr>
          <w:rFonts w:ascii="Arial" w:hAnsi="Arial" w:cs="Arial"/>
          <w:sz w:val="20"/>
          <w:szCs w:val="20"/>
        </w:rPr>
      </w:pPr>
    </w:p>
    <w:p w14:paraId="5DDF530D" w14:textId="77777777" w:rsidR="00FF74C1" w:rsidRPr="00BB46BD" w:rsidRDefault="00FF74C1" w:rsidP="00BB46BD">
      <w:pPr>
        <w:spacing w:line="276" w:lineRule="auto"/>
        <w:jc w:val="both"/>
        <w:rPr>
          <w:rFonts w:ascii="Arial" w:hAnsi="Arial" w:cs="Arial"/>
          <w:sz w:val="20"/>
          <w:szCs w:val="20"/>
        </w:rPr>
      </w:pPr>
    </w:p>
    <w:p w14:paraId="5B81F49C" w14:textId="77777777" w:rsidR="00FF74C1" w:rsidRPr="00BB46BD" w:rsidRDefault="00FF74C1" w:rsidP="00BB46BD">
      <w:pPr>
        <w:spacing w:line="276" w:lineRule="auto"/>
        <w:jc w:val="both"/>
        <w:rPr>
          <w:rFonts w:ascii="Arial" w:hAnsi="Arial" w:cs="Arial"/>
          <w:sz w:val="20"/>
          <w:szCs w:val="20"/>
        </w:rPr>
      </w:pPr>
    </w:p>
    <w:sectPr w:rsidR="00FF74C1" w:rsidRPr="00BB46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E73A3"/>
    <w:multiLevelType w:val="hybridMultilevel"/>
    <w:tmpl w:val="2752C8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FBE230B"/>
    <w:multiLevelType w:val="hybridMultilevel"/>
    <w:tmpl w:val="1F184F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3154B54"/>
    <w:multiLevelType w:val="hybridMultilevel"/>
    <w:tmpl w:val="1BF047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6F31EB3"/>
    <w:multiLevelType w:val="hybridMultilevel"/>
    <w:tmpl w:val="5BF89B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454757A"/>
    <w:multiLevelType w:val="hybridMultilevel"/>
    <w:tmpl w:val="4720F368"/>
    <w:lvl w:ilvl="0" w:tplc="04160001">
      <w:start w:val="1"/>
      <w:numFmt w:val="bullet"/>
      <w:lvlText w:val=""/>
      <w:lvlJc w:val="left"/>
      <w:pPr>
        <w:ind w:left="360" w:hanging="360"/>
      </w:pPr>
      <w:rPr>
        <w:rFonts w:ascii="Symbol" w:hAnsi="Symbol" w:hint="default"/>
      </w:rPr>
    </w:lvl>
    <w:lvl w:ilvl="1" w:tplc="04160001">
      <w:start w:val="1"/>
      <w:numFmt w:val="bullet"/>
      <w:lvlText w:val=""/>
      <w:lvlJc w:val="left"/>
      <w:pPr>
        <w:ind w:left="1080" w:hanging="360"/>
      </w:pPr>
      <w:rPr>
        <w:rFonts w:ascii="Symbol" w:hAnsi="Symbol"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15:restartNumberingAfterBreak="0">
    <w:nsid w:val="254053B2"/>
    <w:multiLevelType w:val="hybridMultilevel"/>
    <w:tmpl w:val="26A6163A"/>
    <w:lvl w:ilvl="0" w:tplc="4A0646CA">
      <w:start w:val="300"/>
      <w:numFmt w:val="bullet"/>
      <w:lvlText w:val=""/>
      <w:lvlJc w:val="left"/>
      <w:pPr>
        <w:ind w:left="720" w:hanging="360"/>
      </w:pPr>
      <w:rPr>
        <w:rFonts w:ascii="Wingdings" w:eastAsiaTheme="minorHAnsi"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4E3207D"/>
    <w:multiLevelType w:val="hybridMultilevel"/>
    <w:tmpl w:val="A648B4E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7" w15:restartNumberingAfterBreak="0">
    <w:nsid w:val="361867DB"/>
    <w:multiLevelType w:val="hybridMultilevel"/>
    <w:tmpl w:val="10A4C4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72C44E2"/>
    <w:multiLevelType w:val="hybridMultilevel"/>
    <w:tmpl w:val="A074302A"/>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9" w15:restartNumberingAfterBreak="0">
    <w:nsid w:val="3F6128C6"/>
    <w:multiLevelType w:val="hybridMultilevel"/>
    <w:tmpl w:val="9B28F91C"/>
    <w:lvl w:ilvl="0" w:tplc="8D50D902">
      <w:numFmt w:val="bullet"/>
      <w:lvlText w:val=""/>
      <w:lvlJc w:val="left"/>
      <w:pPr>
        <w:ind w:left="720" w:hanging="360"/>
      </w:pPr>
      <w:rPr>
        <w:rFonts w:ascii="Wingdings" w:eastAsiaTheme="minorHAnsi"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06276CC"/>
    <w:multiLevelType w:val="hybridMultilevel"/>
    <w:tmpl w:val="919487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CF145EB"/>
    <w:multiLevelType w:val="hybridMultilevel"/>
    <w:tmpl w:val="3CF861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0415922"/>
    <w:multiLevelType w:val="hybridMultilevel"/>
    <w:tmpl w:val="FC388478"/>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3" w15:restartNumberingAfterBreak="0">
    <w:nsid w:val="6A311915"/>
    <w:multiLevelType w:val="hybridMultilevel"/>
    <w:tmpl w:val="AAB68E32"/>
    <w:lvl w:ilvl="0" w:tplc="C7BC029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63C34DC"/>
    <w:multiLevelType w:val="hybridMultilevel"/>
    <w:tmpl w:val="B0821D96"/>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5" w15:restartNumberingAfterBreak="0">
    <w:nsid w:val="76445305"/>
    <w:multiLevelType w:val="hybridMultilevel"/>
    <w:tmpl w:val="53A448FC"/>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6" w15:restartNumberingAfterBreak="0">
    <w:nsid w:val="77055AB2"/>
    <w:multiLevelType w:val="hybridMultilevel"/>
    <w:tmpl w:val="2B8E64AC"/>
    <w:lvl w:ilvl="0" w:tplc="98F0A1D8">
      <w:start w:val="1"/>
      <w:numFmt w:val="bullet"/>
      <w:lvlText w:val="•"/>
      <w:lvlJc w:val="left"/>
      <w:pPr>
        <w:tabs>
          <w:tab w:val="num" w:pos="720"/>
        </w:tabs>
        <w:ind w:left="720" w:hanging="360"/>
      </w:pPr>
      <w:rPr>
        <w:rFonts w:ascii="Times New Roman" w:hAnsi="Times New Roman" w:hint="default"/>
      </w:rPr>
    </w:lvl>
    <w:lvl w:ilvl="1" w:tplc="62BC20A2" w:tentative="1">
      <w:start w:val="1"/>
      <w:numFmt w:val="bullet"/>
      <w:lvlText w:val="•"/>
      <w:lvlJc w:val="left"/>
      <w:pPr>
        <w:tabs>
          <w:tab w:val="num" w:pos="1440"/>
        </w:tabs>
        <w:ind w:left="1440" w:hanging="360"/>
      </w:pPr>
      <w:rPr>
        <w:rFonts w:ascii="Times New Roman" w:hAnsi="Times New Roman" w:hint="default"/>
      </w:rPr>
    </w:lvl>
    <w:lvl w:ilvl="2" w:tplc="3E20A0AE" w:tentative="1">
      <w:start w:val="1"/>
      <w:numFmt w:val="bullet"/>
      <w:lvlText w:val="•"/>
      <w:lvlJc w:val="left"/>
      <w:pPr>
        <w:tabs>
          <w:tab w:val="num" w:pos="2160"/>
        </w:tabs>
        <w:ind w:left="2160" w:hanging="360"/>
      </w:pPr>
      <w:rPr>
        <w:rFonts w:ascii="Times New Roman" w:hAnsi="Times New Roman" w:hint="default"/>
      </w:rPr>
    </w:lvl>
    <w:lvl w:ilvl="3" w:tplc="C750CE44" w:tentative="1">
      <w:start w:val="1"/>
      <w:numFmt w:val="bullet"/>
      <w:lvlText w:val="•"/>
      <w:lvlJc w:val="left"/>
      <w:pPr>
        <w:tabs>
          <w:tab w:val="num" w:pos="2880"/>
        </w:tabs>
        <w:ind w:left="2880" w:hanging="360"/>
      </w:pPr>
      <w:rPr>
        <w:rFonts w:ascii="Times New Roman" w:hAnsi="Times New Roman" w:hint="default"/>
      </w:rPr>
    </w:lvl>
    <w:lvl w:ilvl="4" w:tplc="93E42010" w:tentative="1">
      <w:start w:val="1"/>
      <w:numFmt w:val="bullet"/>
      <w:lvlText w:val="•"/>
      <w:lvlJc w:val="left"/>
      <w:pPr>
        <w:tabs>
          <w:tab w:val="num" w:pos="3600"/>
        </w:tabs>
        <w:ind w:left="3600" w:hanging="360"/>
      </w:pPr>
      <w:rPr>
        <w:rFonts w:ascii="Times New Roman" w:hAnsi="Times New Roman" w:hint="default"/>
      </w:rPr>
    </w:lvl>
    <w:lvl w:ilvl="5" w:tplc="4C0E4510" w:tentative="1">
      <w:start w:val="1"/>
      <w:numFmt w:val="bullet"/>
      <w:lvlText w:val="•"/>
      <w:lvlJc w:val="left"/>
      <w:pPr>
        <w:tabs>
          <w:tab w:val="num" w:pos="4320"/>
        </w:tabs>
        <w:ind w:left="4320" w:hanging="360"/>
      </w:pPr>
      <w:rPr>
        <w:rFonts w:ascii="Times New Roman" w:hAnsi="Times New Roman" w:hint="default"/>
      </w:rPr>
    </w:lvl>
    <w:lvl w:ilvl="6" w:tplc="E1701852" w:tentative="1">
      <w:start w:val="1"/>
      <w:numFmt w:val="bullet"/>
      <w:lvlText w:val="•"/>
      <w:lvlJc w:val="left"/>
      <w:pPr>
        <w:tabs>
          <w:tab w:val="num" w:pos="5040"/>
        </w:tabs>
        <w:ind w:left="5040" w:hanging="360"/>
      </w:pPr>
      <w:rPr>
        <w:rFonts w:ascii="Times New Roman" w:hAnsi="Times New Roman" w:hint="default"/>
      </w:rPr>
    </w:lvl>
    <w:lvl w:ilvl="7" w:tplc="57B643FA" w:tentative="1">
      <w:start w:val="1"/>
      <w:numFmt w:val="bullet"/>
      <w:lvlText w:val="•"/>
      <w:lvlJc w:val="left"/>
      <w:pPr>
        <w:tabs>
          <w:tab w:val="num" w:pos="5760"/>
        </w:tabs>
        <w:ind w:left="5760" w:hanging="360"/>
      </w:pPr>
      <w:rPr>
        <w:rFonts w:ascii="Times New Roman" w:hAnsi="Times New Roman" w:hint="default"/>
      </w:rPr>
    </w:lvl>
    <w:lvl w:ilvl="8" w:tplc="5A62C318"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79E1098A"/>
    <w:multiLevelType w:val="hybridMultilevel"/>
    <w:tmpl w:val="2468F5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A363CCE"/>
    <w:multiLevelType w:val="hybridMultilevel"/>
    <w:tmpl w:val="DCF6558C"/>
    <w:lvl w:ilvl="0" w:tplc="36A4BB5A">
      <w:numFmt w:val="bullet"/>
      <w:lvlText w:val=""/>
      <w:lvlJc w:val="left"/>
      <w:pPr>
        <w:ind w:left="720" w:hanging="360"/>
      </w:pPr>
      <w:rPr>
        <w:rFonts w:ascii="Wingdings" w:eastAsiaTheme="minorHAnsi"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B750998"/>
    <w:multiLevelType w:val="hybridMultilevel"/>
    <w:tmpl w:val="7C5689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8"/>
  </w:num>
  <w:num w:numId="4">
    <w:abstractNumId w:val="11"/>
  </w:num>
  <w:num w:numId="5">
    <w:abstractNumId w:val="15"/>
  </w:num>
  <w:num w:numId="6">
    <w:abstractNumId w:val="1"/>
  </w:num>
  <w:num w:numId="7">
    <w:abstractNumId w:val="17"/>
  </w:num>
  <w:num w:numId="8">
    <w:abstractNumId w:val="2"/>
  </w:num>
  <w:num w:numId="9">
    <w:abstractNumId w:val="0"/>
  </w:num>
  <w:num w:numId="10">
    <w:abstractNumId w:val="10"/>
  </w:num>
  <w:num w:numId="11">
    <w:abstractNumId w:val="19"/>
  </w:num>
  <w:num w:numId="12">
    <w:abstractNumId w:val="13"/>
  </w:num>
  <w:num w:numId="13">
    <w:abstractNumId w:val="16"/>
  </w:num>
  <w:num w:numId="14">
    <w:abstractNumId w:val="5"/>
  </w:num>
  <w:num w:numId="15">
    <w:abstractNumId w:val="18"/>
  </w:num>
  <w:num w:numId="16">
    <w:abstractNumId w:val="9"/>
  </w:num>
  <w:num w:numId="17">
    <w:abstractNumId w:val="6"/>
  </w:num>
  <w:num w:numId="18">
    <w:abstractNumId w:val="12"/>
  </w:num>
  <w:num w:numId="19">
    <w:abstractNumId w:val="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FA9"/>
    <w:rsid w:val="00011333"/>
    <w:rsid w:val="0002326A"/>
    <w:rsid w:val="00035EAE"/>
    <w:rsid w:val="00036251"/>
    <w:rsid w:val="00041A7C"/>
    <w:rsid w:val="00053AFF"/>
    <w:rsid w:val="000642F1"/>
    <w:rsid w:val="00064A54"/>
    <w:rsid w:val="00074133"/>
    <w:rsid w:val="000758A8"/>
    <w:rsid w:val="000807B7"/>
    <w:rsid w:val="000A6BFB"/>
    <w:rsid w:val="000B0AEC"/>
    <w:rsid w:val="000B1DA3"/>
    <w:rsid w:val="000B5BB6"/>
    <w:rsid w:val="000D34EA"/>
    <w:rsid w:val="000E0E8E"/>
    <w:rsid w:val="000F0D8A"/>
    <w:rsid w:val="000F4579"/>
    <w:rsid w:val="00102160"/>
    <w:rsid w:val="00117B47"/>
    <w:rsid w:val="00117DB2"/>
    <w:rsid w:val="0012135F"/>
    <w:rsid w:val="001341D6"/>
    <w:rsid w:val="0014185C"/>
    <w:rsid w:val="0014309C"/>
    <w:rsid w:val="001430ED"/>
    <w:rsid w:val="00144CFB"/>
    <w:rsid w:val="0015623F"/>
    <w:rsid w:val="00164069"/>
    <w:rsid w:val="0016588B"/>
    <w:rsid w:val="00176BBB"/>
    <w:rsid w:val="001858FE"/>
    <w:rsid w:val="00191F50"/>
    <w:rsid w:val="00195037"/>
    <w:rsid w:val="001A4FA9"/>
    <w:rsid w:val="001B30EF"/>
    <w:rsid w:val="001D1A6F"/>
    <w:rsid w:val="001D21EF"/>
    <w:rsid w:val="001E269E"/>
    <w:rsid w:val="001F7B28"/>
    <w:rsid w:val="0020317F"/>
    <w:rsid w:val="002067BC"/>
    <w:rsid w:val="00210FA8"/>
    <w:rsid w:val="00215AD3"/>
    <w:rsid w:val="00217141"/>
    <w:rsid w:val="002220F4"/>
    <w:rsid w:val="00226A08"/>
    <w:rsid w:val="002305C6"/>
    <w:rsid w:val="00246BFB"/>
    <w:rsid w:val="00250F4B"/>
    <w:rsid w:val="00271A11"/>
    <w:rsid w:val="00272962"/>
    <w:rsid w:val="00284ED7"/>
    <w:rsid w:val="00295F7A"/>
    <w:rsid w:val="002B3792"/>
    <w:rsid w:val="002B3CDB"/>
    <w:rsid w:val="002B62C8"/>
    <w:rsid w:val="002B6E08"/>
    <w:rsid w:val="002B7DBF"/>
    <w:rsid w:val="002C252A"/>
    <w:rsid w:val="002C44E6"/>
    <w:rsid w:val="002D0E4B"/>
    <w:rsid w:val="002D1C90"/>
    <w:rsid w:val="002D64C7"/>
    <w:rsid w:val="002E68C9"/>
    <w:rsid w:val="002F00C7"/>
    <w:rsid w:val="002F2812"/>
    <w:rsid w:val="002F5B01"/>
    <w:rsid w:val="00301E11"/>
    <w:rsid w:val="003020B5"/>
    <w:rsid w:val="00311F33"/>
    <w:rsid w:val="00314977"/>
    <w:rsid w:val="00317A67"/>
    <w:rsid w:val="00320671"/>
    <w:rsid w:val="00331C56"/>
    <w:rsid w:val="003339E4"/>
    <w:rsid w:val="00342611"/>
    <w:rsid w:val="00342FC2"/>
    <w:rsid w:val="00347A87"/>
    <w:rsid w:val="00351131"/>
    <w:rsid w:val="00351510"/>
    <w:rsid w:val="0035175A"/>
    <w:rsid w:val="00354641"/>
    <w:rsid w:val="003547AF"/>
    <w:rsid w:val="00364277"/>
    <w:rsid w:val="00367352"/>
    <w:rsid w:val="003828B0"/>
    <w:rsid w:val="0038335C"/>
    <w:rsid w:val="00386311"/>
    <w:rsid w:val="00387F44"/>
    <w:rsid w:val="003943A0"/>
    <w:rsid w:val="003A5E62"/>
    <w:rsid w:val="003B15E3"/>
    <w:rsid w:val="003B363B"/>
    <w:rsid w:val="003B5A6E"/>
    <w:rsid w:val="003C354A"/>
    <w:rsid w:val="003C4483"/>
    <w:rsid w:val="003C6BFE"/>
    <w:rsid w:val="003C6E8D"/>
    <w:rsid w:val="003D562B"/>
    <w:rsid w:val="003D6063"/>
    <w:rsid w:val="003D6F64"/>
    <w:rsid w:val="003D7714"/>
    <w:rsid w:val="003E1B14"/>
    <w:rsid w:val="003E1E36"/>
    <w:rsid w:val="003E4153"/>
    <w:rsid w:val="003E5DD2"/>
    <w:rsid w:val="003F2440"/>
    <w:rsid w:val="00403E8B"/>
    <w:rsid w:val="00407014"/>
    <w:rsid w:val="00415881"/>
    <w:rsid w:val="00422E6C"/>
    <w:rsid w:val="004244E4"/>
    <w:rsid w:val="004273F6"/>
    <w:rsid w:val="00435BC2"/>
    <w:rsid w:val="00442F14"/>
    <w:rsid w:val="00445A07"/>
    <w:rsid w:val="00447B3C"/>
    <w:rsid w:val="00474BF6"/>
    <w:rsid w:val="00482BAD"/>
    <w:rsid w:val="00483AC8"/>
    <w:rsid w:val="004927E0"/>
    <w:rsid w:val="0049443E"/>
    <w:rsid w:val="004A34BE"/>
    <w:rsid w:val="004B07C7"/>
    <w:rsid w:val="004B7FDF"/>
    <w:rsid w:val="004D323F"/>
    <w:rsid w:val="004E0AEA"/>
    <w:rsid w:val="004E3EFB"/>
    <w:rsid w:val="004E5A04"/>
    <w:rsid w:val="00506325"/>
    <w:rsid w:val="00507462"/>
    <w:rsid w:val="00507E33"/>
    <w:rsid w:val="00511DAC"/>
    <w:rsid w:val="005154D4"/>
    <w:rsid w:val="005208CE"/>
    <w:rsid w:val="0052453A"/>
    <w:rsid w:val="0053004A"/>
    <w:rsid w:val="00533A0D"/>
    <w:rsid w:val="0053732B"/>
    <w:rsid w:val="0054078F"/>
    <w:rsid w:val="0055066C"/>
    <w:rsid w:val="00550ADB"/>
    <w:rsid w:val="005522B5"/>
    <w:rsid w:val="00556EEE"/>
    <w:rsid w:val="00576874"/>
    <w:rsid w:val="00582DE8"/>
    <w:rsid w:val="00586931"/>
    <w:rsid w:val="00593934"/>
    <w:rsid w:val="00596AAD"/>
    <w:rsid w:val="005A0C3B"/>
    <w:rsid w:val="005B3E40"/>
    <w:rsid w:val="005B587A"/>
    <w:rsid w:val="005C1682"/>
    <w:rsid w:val="005D0407"/>
    <w:rsid w:val="005D08CF"/>
    <w:rsid w:val="005D25DC"/>
    <w:rsid w:val="005D5647"/>
    <w:rsid w:val="005E07DB"/>
    <w:rsid w:val="005E1F68"/>
    <w:rsid w:val="005E4058"/>
    <w:rsid w:val="005E4499"/>
    <w:rsid w:val="005E470B"/>
    <w:rsid w:val="005E587C"/>
    <w:rsid w:val="005F5211"/>
    <w:rsid w:val="005F6CE5"/>
    <w:rsid w:val="00603192"/>
    <w:rsid w:val="00604B6F"/>
    <w:rsid w:val="00623823"/>
    <w:rsid w:val="00626949"/>
    <w:rsid w:val="00627C8F"/>
    <w:rsid w:val="00627ECE"/>
    <w:rsid w:val="00631213"/>
    <w:rsid w:val="00634330"/>
    <w:rsid w:val="006624B1"/>
    <w:rsid w:val="006645AE"/>
    <w:rsid w:val="00672877"/>
    <w:rsid w:val="00673A3F"/>
    <w:rsid w:val="00674733"/>
    <w:rsid w:val="0067763B"/>
    <w:rsid w:val="006930DA"/>
    <w:rsid w:val="006B0614"/>
    <w:rsid w:val="006B223C"/>
    <w:rsid w:val="006B715F"/>
    <w:rsid w:val="006C1734"/>
    <w:rsid w:val="006D7E28"/>
    <w:rsid w:val="006E125B"/>
    <w:rsid w:val="006E39F9"/>
    <w:rsid w:val="006E50AC"/>
    <w:rsid w:val="006E5705"/>
    <w:rsid w:val="006E6A5E"/>
    <w:rsid w:val="006F04F0"/>
    <w:rsid w:val="006F486B"/>
    <w:rsid w:val="0070569D"/>
    <w:rsid w:val="00706E88"/>
    <w:rsid w:val="00706F2E"/>
    <w:rsid w:val="007079F8"/>
    <w:rsid w:val="007120AC"/>
    <w:rsid w:val="00712DFE"/>
    <w:rsid w:val="00724B22"/>
    <w:rsid w:val="00731C1B"/>
    <w:rsid w:val="00731F61"/>
    <w:rsid w:val="007329F2"/>
    <w:rsid w:val="00742167"/>
    <w:rsid w:val="00743062"/>
    <w:rsid w:val="0074518A"/>
    <w:rsid w:val="007476CD"/>
    <w:rsid w:val="00753FE8"/>
    <w:rsid w:val="00757A1E"/>
    <w:rsid w:val="00764107"/>
    <w:rsid w:val="00780566"/>
    <w:rsid w:val="00795DF5"/>
    <w:rsid w:val="007A4E54"/>
    <w:rsid w:val="007A5175"/>
    <w:rsid w:val="007B1325"/>
    <w:rsid w:val="007B3A4E"/>
    <w:rsid w:val="007B4522"/>
    <w:rsid w:val="007D397A"/>
    <w:rsid w:val="007D6DCC"/>
    <w:rsid w:val="007D7017"/>
    <w:rsid w:val="007E500E"/>
    <w:rsid w:val="007E6027"/>
    <w:rsid w:val="007E7A23"/>
    <w:rsid w:val="007F5DC5"/>
    <w:rsid w:val="0080494A"/>
    <w:rsid w:val="00812FBE"/>
    <w:rsid w:val="00843102"/>
    <w:rsid w:val="00844EB6"/>
    <w:rsid w:val="00845610"/>
    <w:rsid w:val="00847B05"/>
    <w:rsid w:val="00866276"/>
    <w:rsid w:val="00867524"/>
    <w:rsid w:val="008822FA"/>
    <w:rsid w:val="00882E36"/>
    <w:rsid w:val="008903E3"/>
    <w:rsid w:val="00892A79"/>
    <w:rsid w:val="0089497A"/>
    <w:rsid w:val="008A2188"/>
    <w:rsid w:val="008B027A"/>
    <w:rsid w:val="008C2B6C"/>
    <w:rsid w:val="008E361F"/>
    <w:rsid w:val="008E7B22"/>
    <w:rsid w:val="00911DDB"/>
    <w:rsid w:val="00923504"/>
    <w:rsid w:val="0092514B"/>
    <w:rsid w:val="00933D0B"/>
    <w:rsid w:val="00936EEA"/>
    <w:rsid w:val="0094126D"/>
    <w:rsid w:val="00942714"/>
    <w:rsid w:val="009451E8"/>
    <w:rsid w:val="00960018"/>
    <w:rsid w:val="00966DCD"/>
    <w:rsid w:val="00991432"/>
    <w:rsid w:val="00991C72"/>
    <w:rsid w:val="009A13EB"/>
    <w:rsid w:val="009A41D8"/>
    <w:rsid w:val="009B04F4"/>
    <w:rsid w:val="009B0A7F"/>
    <w:rsid w:val="009B6EBA"/>
    <w:rsid w:val="009C197E"/>
    <w:rsid w:val="009C27EE"/>
    <w:rsid w:val="009C49B5"/>
    <w:rsid w:val="009C5B1B"/>
    <w:rsid w:val="009C653B"/>
    <w:rsid w:val="009D6552"/>
    <w:rsid w:val="009E3D52"/>
    <w:rsid w:val="009E50E4"/>
    <w:rsid w:val="00A043C3"/>
    <w:rsid w:val="00A06754"/>
    <w:rsid w:val="00A11444"/>
    <w:rsid w:val="00A23E5D"/>
    <w:rsid w:val="00A23F5C"/>
    <w:rsid w:val="00A34786"/>
    <w:rsid w:val="00A413C9"/>
    <w:rsid w:val="00A46ED5"/>
    <w:rsid w:val="00A51AB7"/>
    <w:rsid w:val="00A55F37"/>
    <w:rsid w:val="00A60FC2"/>
    <w:rsid w:val="00A6384F"/>
    <w:rsid w:val="00A661F5"/>
    <w:rsid w:val="00A67515"/>
    <w:rsid w:val="00A705E7"/>
    <w:rsid w:val="00A71B54"/>
    <w:rsid w:val="00A72193"/>
    <w:rsid w:val="00A76964"/>
    <w:rsid w:val="00A929A7"/>
    <w:rsid w:val="00A966C1"/>
    <w:rsid w:val="00AA1A2D"/>
    <w:rsid w:val="00AA3DE2"/>
    <w:rsid w:val="00AD0A59"/>
    <w:rsid w:val="00AD32E2"/>
    <w:rsid w:val="00AE1DDC"/>
    <w:rsid w:val="00AF3349"/>
    <w:rsid w:val="00AF38F8"/>
    <w:rsid w:val="00AF44F5"/>
    <w:rsid w:val="00B00922"/>
    <w:rsid w:val="00B01697"/>
    <w:rsid w:val="00B01960"/>
    <w:rsid w:val="00B10341"/>
    <w:rsid w:val="00B10A0A"/>
    <w:rsid w:val="00B13EE9"/>
    <w:rsid w:val="00B14E25"/>
    <w:rsid w:val="00B20EBA"/>
    <w:rsid w:val="00B24390"/>
    <w:rsid w:val="00B25A62"/>
    <w:rsid w:val="00B26A9C"/>
    <w:rsid w:val="00B34919"/>
    <w:rsid w:val="00B35C05"/>
    <w:rsid w:val="00B3694E"/>
    <w:rsid w:val="00B43402"/>
    <w:rsid w:val="00B45B6F"/>
    <w:rsid w:val="00B50C4E"/>
    <w:rsid w:val="00B6187A"/>
    <w:rsid w:val="00B657B5"/>
    <w:rsid w:val="00B67798"/>
    <w:rsid w:val="00B70EA2"/>
    <w:rsid w:val="00B74FD5"/>
    <w:rsid w:val="00B90305"/>
    <w:rsid w:val="00B91273"/>
    <w:rsid w:val="00B964E1"/>
    <w:rsid w:val="00B96EEF"/>
    <w:rsid w:val="00B977E1"/>
    <w:rsid w:val="00BA23CB"/>
    <w:rsid w:val="00BA484D"/>
    <w:rsid w:val="00BA75FF"/>
    <w:rsid w:val="00BB46BD"/>
    <w:rsid w:val="00BC02D9"/>
    <w:rsid w:val="00BC045B"/>
    <w:rsid w:val="00BC40C0"/>
    <w:rsid w:val="00BC4D1D"/>
    <w:rsid w:val="00BD77C6"/>
    <w:rsid w:val="00BE0141"/>
    <w:rsid w:val="00BE06C9"/>
    <w:rsid w:val="00BE4C0B"/>
    <w:rsid w:val="00BF23D9"/>
    <w:rsid w:val="00C13295"/>
    <w:rsid w:val="00C137E0"/>
    <w:rsid w:val="00C24A26"/>
    <w:rsid w:val="00C308EB"/>
    <w:rsid w:val="00C334E5"/>
    <w:rsid w:val="00C345F1"/>
    <w:rsid w:val="00C44F22"/>
    <w:rsid w:val="00C575FD"/>
    <w:rsid w:val="00C6406E"/>
    <w:rsid w:val="00C669AD"/>
    <w:rsid w:val="00C66C1A"/>
    <w:rsid w:val="00C67A26"/>
    <w:rsid w:val="00C808D5"/>
    <w:rsid w:val="00C80B5F"/>
    <w:rsid w:val="00C84637"/>
    <w:rsid w:val="00C85B6B"/>
    <w:rsid w:val="00C95EEE"/>
    <w:rsid w:val="00C96636"/>
    <w:rsid w:val="00C97E17"/>
    <w:rsid w:val="00CB1343"/>
    <w:rsid w:val="00CE2495"/>
    <w:rsid w:val="00CE7313"/>
    <w:rsid w:val="00CF4754"/>
    <w:rsid w:val="00CF555E"/>
    <w:rsid w:val="00D00EAC"/>
    <w:rsid w:val="00D030D4"/>
    <w:rsid w:val="00D0452C"/>
    <w:rsid w:val="00D138AE"/>
    <w:rsid w:val="00D171DD"/>
    <w:rsid w:val="00D27E78"/>
    <w:rsid w:val="00D35AEE"/>
    <w:rsid w:val="00D605BE"/>
    <w:rsid w:val="00D8544C"/>
    <w:rsid w:val="00D854FA"/>
    <w:rsid w:val="00D872E6"/>
    <w:rsid w:val="00DB1395"/>
    <w:rsid w:val="00DC19A4"/>
    <w:rsid w:val="00DC3398"/>
    <w:rsid w:val="00DD3ABB"/>
    <w:rsid w:val="00DD60EB"/>
    <w:rsid w:val="00DE2118"/>
    <w:rsid w:val="00DE5683"/>
    <w:rsid w:val="00DF2060"/>
    <w:rsid w:val="00E04438"/>
    <w:rsid w:val="00E10019"/>
    <w:rsid w:val="00E13379"/>
    <w:rsid w:val="00E148CE"/>
    <w:rsid w:val="00E268A0"/>
    <w:rsid w:val="00E31730"/>
    <w:rsid w:val="00E31C48"/>
    <w:rsid w:val="00E34D4D"/>
    <w:rsid w:val="00E35A53"/>
    <w:rsid w:val="00E5100F"/>
    <w:rsid w:val="00E6275E"/>
    <w:rsid w:val="00E64410"/>
    <w:rsid w:val="00E66D9A"/>
    <w:rsid w:val="00E71C89"/>
    <w:rsid w:val="00E72CE1"/>
    <w:rsid w:val="00E77F0F"/>
    <w:rsid w:val="00E867F9"/>
    <w:rsid w:val="00EA02D8"/>
    <w:rsid w:val="00EA0D1B"/>
    <w:rsid w:val="00EA0DCF"/>
    <w:rsid w:val="00EA40B3"/>
    <w:rsid w:val="00EC06B8"/>
    <w:rsid w:val="00EC4707"/>
    <w:rsid w:val="00EC52B9"/>
    <w:rsid w:val="00EE7FA9"/>
    <w:rsid w:val="00EF2BF7"/>
    <w:rsid w:val="00F00B88"/>
    <w:rsid w:val="00F04CAD"/>
    <w:rsid w:val="00F04F33"/>
    <w:rsid w:val="00F119F8"/>
    <w:rsid w:val="00F17D00"/>
    <w:rsid w:val="00F17E67"/>
    <w:rsid w:val="00F23378"/>
    <w:rsid w:val="00F23FA5"/>
    <w:rsid w:val="00F316EA"/>
    <w:rsid w:val="00F319D8"/>
    <w:rsid w:val="00F40788"/>
    <w:rsid w:val="00F505FA"/>
    <w:rsid w:val="00F55EC8"/>
    <w:rsid w:val="00F70A18"/>
    <w:rsid w:val="00F7742E"/>
    <w:rsid w:val="00F81401"/>
    <w:rsid w:val="00F81B93"/>
    <w:rsid w:val="00F81D58"/>
    <w:rsid w:val="00F86496"/>
    <w:rsid w:val="00F9202F"/>
    <w:rsid w:val="00F958FA"/>
    <w:rsid w:val="00F96B23"/>
    <w:rsid w:val="00FA27F7"/>
    <w:rsid w:val="00FA7779"/>
    <w:rsid w:val="00FB20A1"/>
    <w:rsid w:val="00FB3B38"/>
    <w:rsid w:val="00FB5795"/>
    <w:rsid w:val="00FC1E98"/>
    <w:rsid w:val="00FC4723"/>
    <w:rsid w:val="00FD11B5"/>
    <w:rsid w:val="00FD2772"/>
    <w:rsid w:val="00FD46C6"/>
    <w:rsid w:val="00FD5B64"/>
    <w:rsid w:val="00FE60C9"/>
    <w:rsid w:val="00FE613C"/>
    <w:rsid w:val="00FF57A0"/>
    <w:rsid w:val="00FF74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7E368"/>
  <w15:docId w15:val="{7F8334E7-66BF-4BBC-9227-EE363A203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96B2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F96B23"/>
  </w:style>
  <w:style w:type="table" w:styleId="Tabelacomgrade">
    <w:name w:val="Table Grid"/>
    <w:basedOn w:val="Tabelanormal"/>
    <w:uiPriority w:val="39"/>
    <w:rsid w:val="003C3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1F7B28"/>
    <w:pPr>
      <w:ind w:left="720"/>
      <w:contextualSpacing/>
    </w:pPr>
  </w:style>
  <w:style w:type="character" w:styleId="Forte">
    <w:name w:val="Strong"/>
    <w:basedOn w:val="Fontepargpadro"/>
    <w:uiPriority w:val="22"/>
    <w:qFormat/>
    <w:rsid w:val="007430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595253">
      <w:bodyDiv w:val="1"/>
      <w:marLeft w:val="0"/>
      <w:marRight w:val="0"/>
      <w:marTop w:val="0"/>
      <w:marBottom w:val="0"/>
      <w:divBdr>
        <w:top w:val="none" w:sz="0" w:space="0" w:color="auto"/>
        <w:left w:val="none" w:sz="0" w:space="0" w:color="auto"/>
        <w:bottom w:val="none" w:sz="0" w:space="0" w:color="auto"/>
        <w:right w:val="none" w:sz="0" w:space="0" w:color="auto"/>
      </w:divBdr>
    </w:div>
    <w:div w:id="407462086">
      <w:bodyDiv w:val="1"/>
      <w:marLeft w:val="0"/>
      <w:marRight w:val="0"/>
      <w:marTop w:val="0"/>
      <w:marBottom w:val="0"/>
      <w:divBdr>
        <w:top w:val="none" w:sz="0" w:space="0" w:color="auto"/>
        <w:left w:val="none" w:sz="0" w:space="0" w:color="auto"/>
        <w:bottom w:val="none" w:sz="0" w:space="0" w:color="auto"/>
        <w:right w:val="none" w:sz="0" w:space="0" w:color="auto"/>
      </w:divBdr>
      <w:divsChild>
        <w:div w:id="77941700">
          <w:marLeft w:val="547"/>
          <w:marRight w:val="0"/>
          <w:marTop w:val="192"/>
          <w:marBottom w:val="0"/>
          <w:divBdr>
            <w:top w:val="none" w:sz="0" w:space="0" w:color="auto"/>
            <w:left w:val="none" w:sz="0" w:space="0" w:color="auto"/>
            <w:bottom w:val="none" w:sz="0" w:space="0" w:color="auto"/>
            <w:right w:val="none" w:sz="0" w:space="0" w:color="auto"/>
          </w:divBdr>
        </w:div>
        <w:div w:id="1035034792">
          <w:marLeft w:val="547"/>
          <w:marRight w:val="0"/>
          <w:marTop w:val="192"/>
          <w:marBottom w:val="0"/>
          <w:divBdr>
            <w:top w:val="none" w:sz="0" w:space="0" w:color="auto"/>
            <w:left w:val="none" w:sz="0" w:space="0" w:color="auto"/>
            <w:bottom w:val="none" w:sz="0" w:space="0" w:color="auto"/>
            <w:right w:val="none" w:sz="0" w:space="0" w:color="auto"/>
          </w:divBdr>
        </w:div>
        <w:div w:id="1076980539">
          <w:marLeft w:val="547"/>
          <w:marRight w:val="0"/>
          <w:marTop w:val="192"/>
          <w:marBottom w:val="0"/>
          <w:divBdr>
            <w:top w:val="none" w:sz="0" w:space="0" w:color="auto"/>
            <w:left w:val="none" w:sz="0" w:space="0" w:color="auto"/>
            <w:bottom w:val="none" w:sz="0" w:space="0" w:color="auto"/>
            <w:right w:val="none" w:sz="0" w:space="0" w:color="auto"/>
          </w:divBdr>
        </w:div>
        <w:div w:id="1838881718">
          <w:marLeft w:val="547"/>
          <w:marRight w:val="0"/>
          <w:marTop w:val="192"/>
          <w:marBottom w:val="0"/>
          <w:divBdr>
            <w:top w:val="none" w:sz="0" w:space="0" w:color="auto"/>
            <w:left w:val="none" w:sz="0" w:space="0" w:color="auto"/>
            <w:bottom w:val="none" w:sz="0" w:space="0" w:color="auto"/>
            <w:right w:val="none" w:sz="0" w:space="0" w:color="auto"/>
          </w:divBdr>
        </w:div>
        <w:div w:id="410737060">
          <w:marLeft w:val="547"/>
          <w:marRight w:val="0"/>
          <w:marTop w:val="192"/>
          <w:marBottom w:val="0"/>
          <w:divBdr>
            <w:top w:val="none" w:sz="0" w:space="0" w:color="auto"/>
            <w:left w:val="none" w:sz="0" w:space="0" w:color="auto"/>
            <w:bottom w:val="none" w:sz="0" w:space="0" w:color="auto"/>
            <w:right w:val="none" w:sz="0" w:space="0" w:color="auto"/>
          </w:divBdr>
        </w:div>
        <w:div w:id="204299319">
          <w:marLeft w:val="547"/>
          <w:marRight w:val="0"/>
          <w:marTop w:val="192"/>
          <w:marBottom w:val="0"/>
          <w:divBdr>
            <w:top w:val="none" w:sz="0" w:space="0" w:color="auto"/>
            <w:left w:val="none" w:sz="0" w:space="0" w:color="auto"/>
            <w:bottom w:val="none" w:sz="0" w:space="0" w:color="auto"/>
            <w:right w:val="none" w:sz="0" w:space="0" w:color="auto"/>
          </w:divBdr>
        </w:div>
        <w:div w:id="1408265494">
          <w:marLeft w:val="547"/>
          <w:marRight w:val="0"/>
          <w:marTop w:val="192"/>
          <w:marBottom w:val="0"/>
          <w:divBdr>
            <w:top w:val="none" w:sz="0" w:space="0" w:color="auto"/>
            <w:left w:val="none" w:sz="0" w:space="0" w:color="auto"/>
            <w:bottom w:val="none" w:sz="0" w:space="0" w:color="auto"/>
            <w:right w:val="none" w:sz="0" w:space="0" w:color="auto"/>
          </w:divBdr>
        </w:div>
      </w:divsChild>
    </w:div>
    <w:div w:id="917010110">
      <w:bodyDiv w:val="1"/>
      <w:marLeft w:val="0"/>
      <w:marRight w:val="0"/>
      <w:marTop w:val="0"/>
      <w:marBottom w:val="0"/>
      <w:divBdr>
        <w:top w:val="none" w:sz="0" w:space="0" w:color="auto"/>
        <w:left w:val="none" w:sz="0" w:space="0" w:color="auto"/>
        <w:bottom w:val="none" w:sz="0" w:space="0" w:color="auto"/>
        <w:right w:val="none" w:sz="0" w:space="0" w:color="auto"/>
      </w:divBdr>
    </w:div>
    <w:div w:id="153880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988</Words>
  <Characters>5337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Rocha Neto</dc:creator>
  <cp:keywords/>
  <dc:description/>
  <cp:lastModifiedBy>RODOLFO ROCHANETO</cp:lastModifiedBy>
  <cp:revision>8</cp:revision>
  <dcterms:created xsi:type="dcterms:W3CDTF">2018-08-02T22:21:00Z</dcterms:created>
  <dcterms:modified xsi:type="dcterms:W3CDTF">2020-05-18T03:16:00Z</dcterms:modified>
</cp:coreProperties>
</file>