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07E1" w14:textId="77777777" w:rsidR="00953336" w:rsidRPr="00F11DFB" w:rsidRDefault="00953336" w:rsidP="00953336">
      <w:pPr>
        <w:ind w:left="993"/>
        <w:jc w:val="center"/>
        <w:rPr>
          <w:rFonts w:ascii="Arial" w:hAnsi="Arial" w:cs="Arial"/>
        </w:rPr>
      </w:pPr>
    </w:p>
    <w:p w14:paraId="3CE41C21" w14:textId="02F0E049" w:rsidR="00550B4F" w:rsidRPr="00F11DFB" w:rsidRDefault="00C344DC" w:rsidP="00953336">
      <w:pPr>
        <w:ind w:left="993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Punção Lombar</w:t>
      </w:r>
    </w:p>
    <w:p w14:paraId="1617EC37" w14:textId="77777777" w:rsidR="00953336" w:rsidRPr="00F11DFB" w:rsidRDefault="00953336" w:rsidP="00953336">
      <w:pPr>
        <w:ind w:left="993"/>
        <w:jc w:val="center"/>
        <w:rPr>
          <w:rFonts w:ascii="Arial" w:hAnsi="Arial" w:cs="Arial"/>
        </w:rPr>
      </w:pPr>
    </w:p>
    <w:p w14:paraId="2ECDC5BC" w14:textId="77777777" w:rsidR="00774B5E" w:rsidRPr="00F11DFB" w:rsidRDefault="00774B5E" w:rsidP="00953336">
      <w:pPr>
        <w:ind w:left="993"/>
        <w:jc w:val="center"/>
        <w:rPr>
          <w:rFonts w:ascii="Arial" w:hAnsi="Arial" w:cs="Arial"/>
        </w:rPr>
      </w:pPr>
    </w:p>
    <w:p w14:paraId="27278947" w14:textId="30F3A594" w:rsidR="00774B5E" w:rsidRDefault="00774B5E" w:rsidP="00953336">
      <w:pPr>
        <w:pStyle w:val="PargrafodaLista"/>
        <w:numPr>
          <w:ilvl w:val="0"/>
          <w:numId w:val="1"/>
        </w:numPr>
        <w:ind w:left="993"/>
        <w:jc w:val="both"/>
        <w:rPr>
          <w:rFonts w:ascii="Arial" w:hAnsi="Arial" w:cs="Arial"/>
        </w:rPr>
      </w:pPr>
      <w:r w:rsidRPr="00F11DFB">
        <w:rPr>
          <w:rFonts w:ascii="Arial" w:hAnsi="Arial" w:cs="Arial"/>
        </w:rPr>
        <w:t>Definições:</w:t>
      </w:r>
    </w:p>
    <w:p w14:paraId="0E23FD1B" w14:textId="4CB848A6" w:rsidR="005C428F" w:rsidRDefault="005C428F" w:rsidP="005C428F">
      <w:pPr>
        <w:ind w:left="993"/>
        <w:jc w:val="both"/>
        <w:rPr>
          <w:rFonts w:ascii="Arial" w:hAnsi="Arial" w:cs="Arial"/>
        </w:rPr>
      </w:pPr>
    </w:p>
    <w:p w14:paraId="786BE4AE" w14:textId="33289F8B" w:rsidR="00192813" w:rsidRDefault="00192813" w:rsidP="00192813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Pr="00192813">
        <w:rPr>
          <w:rFonts w:ascii="Arial" w:hAnsi="Arial" w:cs="Arial"/>
        </w:rPr>
        <w:t xml:space="preserve"> um procedimento realizado com frequência nos serviços de emergência</w:t>
      </w:r>
      <w:r>
        <w:rPr>
          <w:rFonts w:ascii="Arial" w:hAnsi="Arial" w:cs="Arial"/>
        </w:rPr>
        <w:t xml:space="preserve"> </w:t>
      </w:r>
      <w:r w:rsidRPr="00192813">
        <w:rPr>
          <w:rFonts w:ascii="Arial" w:hAnsi="Arial" w:cs="Arial"/>
        </w:rPr>
        <w:t>para fins diagnósticos</w:t>
      </w:r>
      <w:r>
        <w:rPr>
          <w:rFonts w:ascii="Arial" w:hAnsi="Arial" w:cs="Arial"/>
        </w:rPr>
        <w:t xml:space="preserve">, como </w:t>
      </w:r>
      <w:r w:rsidR="00D8144E">
        <w:rPr>
          <w:rFonts w:ascii="Arial" w:hAnsi="Arial" w:cs="Arial"/>
        </w:rPr>
        <w:t xml:space="preserve">suspeitas </w:t>
      </w:r>
      <w:r>
        <w:rPr>
          <w:rFonts w:ascii="Arial" w:hAnsi="Arial" w:cs="Arial"/>
        </w:rPr>
        <w:t xml:space="preserve">de </w:t>
      </w:r>
      <w:r w:rsidRPr="00192813">
        <w:rPr>
          <w:rFonts w:ascii="Arial" w:hAnsi="Arial" w:cs="Arial"/>
        </w:rPr>
        <w:t>meningite, hemorra</w:t>
      </w:r>
      <w:r>
        <w:rPr>
          <w:rFonts w:ascii="Arial" w:hAnsi="Arial" w:cs="Arial"/>
        </w:rPr>
        <w:t xml:space="preserve">gia </w:t>
      </w:r>
      <w:proofErr w:type="spellStart"/>
      <w:r>
        <w:rPr>
          <w:rFonts w:ascii="Arial" w:hAnsi="Arial" w:cs="Arial"/>
        </w:rPr>
        <w:t>subaracnoideia</w:t>
      </w:r>
      <w:proofErr w:type="spellEnd"/>
      <w:r w:rsidRPr="00192813">
        <w:rPr>
          <w:rFonts w:ascii="Arial" w:hAnsi="Arial" w:cs="Arial"/>
        </w:rPr>
        <w:t xml:space="preserve"> ou outros quadros infecciosos e</w:t>
      </w:r>
      <w:r>
        <w:rPr>
          <w:rFonts w:ascii="Arial" w:hAnsi="Arial" w:cs="Arial"/>
        </w:rPr>
        <w:t xml:space="preserve"> </w:t>
      </w:r>
      <w:r w:rsidRPr="00192813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192813">
        <w:rPr>
          <w:rFonts w:ascii="Arial" w:hAnsi="Arial" w:cs="Arial"/>
        </w:rPr>
        <w:t>ou inflamatórios</w:t>
      </w:r>
      <w:r>
        <w:rPr>
          <w:rFonts w:ascii="Arial" w:hAnsi="Arial" w:cs="Arial"/>
        </w:rPr>
        <w:t>. Também pode ser usada para fins</w:t>
      </w:r>
      <w:r w:rsidRPr="00192813">
        <w:rPr>
          <w:rFonts w:ascii="Arial" w:hAnsi="Arial" w:cs="Arial"/>
        </w:rPr>
        <w:t xml:space="preserve"> terapêuticos</w:t>
      </w:r>
      <w:r>
        <w:rPr>
          <w:rFonts w:ascii="Arial" w:hAnsi="Arial" w:cs="Arial"/>
        </w:rPr>
        <w:t xml:space="preserve">, como </w:t>
      </w:r>
      <w:r w:rsidRPr="00192813">
        <w:rPr>
          <w:rFonts w:ascii="Arial" w:hAnsi="Arial" w:cs="Arial"/>
        </w:rPr>
        <w:t xml:space="preserve">diminuir o volume do </w:t>
      </w:r>
      <w:r w:rsidR="00D8144E">
        <w:rPr>
          <w:rFonts w:ascii="Arial" w:hAnsi="Arial" w:cs="Arial"/>
        </w:rPr>
        <w:t xml:space="preserve">líquor e alívio dos sintomas em pacientes com </w:t>
      </w:r>
      <w:r>
        <w:rPr>
          <w:rFonts w:ascii="Arial" w:hAnsi="Arial" w:cs="Arial"/>
        </w:rPr>
        <w:t xml:space="preserve">pseudotumor cerebral ou </w:t>
      </w:r>
      <w:r w:rsidRPr="00192813">
        <w:rPr>
          <w:rFonts w:ascii="Arial" w:hAnsi="Arial" w:cs="Arial"/>
        </w:rPr>
        <w:t>hidrocefalia de pressão normal</w:t>
      </w:r>
      <w:r>
        <w:rPr>
          <w:rFonts w:ascii="Arial" w:hAnsi="Arial" w:cs="Arial"/>
        </w:rPr>
        <w:t>.</w:t>
      </w:r>
    </w:p>
    <w:p w14:paraId="11A9C79B" w14:textId="77777777" w:rsidR="00192813" w:rsidRDefault="00192813" w:rsidP="00192813">
      <w:pPr>
        <w:ind w:left="993"/>
        <w:jc w:val="both"/>
        <w:rPr>
          <w:rFonts w:ascii="Arial" w:hAnsi="Arial" w:cs="Arial"/>
        </w:rPr>
      </w:pPr>
    </w:p>
    <w:p w14:paraId="79ACDEE8" w14:textId="52A6D936" w:rsidR="00774B5E" w:rsidRPr="00F11DFB" w:rsidRDefault="00192813" w:rsidP="00192813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192813">
        <w:rPr>
          <w:rFonts w:ascii="Arial" w:hAnsi="Arial" w:cs="Arial"/>
        </w:rPr>
        <w:t xml:space="preserve"> início do quadro de </w:t>
      </w:r>
      <w:r w:rsidR="00216257">
        <w:rPr>
          <w:rFonts w:ascii="Arial" w:hAnsi="Arial" w:cs="Arial"/>
        </w:rPr>
        <w:t>infecção do sistema nervoso central</w:t>
      </w:r>
      <w:r w:rsidRPr="00192813">
        <w:rPr>
          <w:rFonts w:ascii="Arial" w:hAnsi="Arial" w:cs="Arial"/>
        </w:rPr>
        <w:t xml:space="preserve"> pode ser</w:t>
      </w:r>
      <w:r>
        <w:rPr>
          <w:rFonts w:ascii="Arial" w:hAnsi="Arial" w:cs="Arial"/>
        </w:rPr>
        <w:t xml:space="preserve"> de</w:t>
      </w:r>
      <w:r w:rsidRPr="00192813">
        <w:rPr>
          <w:rFonts w:ascii="Arial" w:hAnsi="Arial" w:cs="Arial"/>
        </w:rPr>
        <w:t xml:space="preserve"> difícil diagnóstico apenas com a anamnese e o exame físico, visto que muitos processos virais podem causar sinais e sintomas semelhantes</w:t>
      </w:r>
      <w:r>
        <w:rPr>
          <w:rFonts w:ascii="Arial" w:hAnsi="Arial" w:cs="Arial"/>
        </w:rPr>
        <w:t>, como</w:t>
      </w:r>
      <w:r w:rsidRPr="00192813">
        <w:rPr>
          <w:rFonts w:ascii="Arial" w:hAnsi="Arial" w:cs="Arial"/>
        </w:rPr>
        <w:t xml:space="preserve"> cefaleia, dor </w:t>
      </w:r>
      <w:r>
        <w:rPr>
          <w:rFonts w:ascii="Arial" w:hAnsi="Arial" w:cs="Arial"/>
        </w:rPr>
        <w:t xml:space="preserve">na nuca e/ou nas costas e febre. </w:t>
      </w:r>
      <w:r w:rsidRPr="00192813">
        <w:rPr>
          <w:rFonts w:ascii="Arial" w:hAnsi="Arial" w:cs="Arial"/>
        </w:rPr>
        <w:t xml:space="preserve">A punção lombar só deve ser realizada após o exame neurológico e a avaliação da pressão intracraniana, porém </w:t>
      </w:r>
      <w:r w:rsidRPr="00192813">
        <w:rPr>
          <w:rFonts w:ascii="Arial" w:hAnsi="Arial" w:cs="Arial"/>
          <w:u w:val="single"/>
        </w:rPr>
        <w:t>nunca</w:t>
      </w:r>
      <w:r w:rsidRPr="00192813">
        <w:rPr>
          <w:rFonts w:ascii="Arial" w:hAnsi="Arial" w:cs="Arial"/>
        </w:rPr>
        <w:t xml:space="preserve"> deve atrasar as intervenções que podem salvar a vida do paciente, como a administração d</w:t>
      </w:r>
      <w:r>
        <w:rPr>
          <w:rFonts w:ascii="Arial" w:hAnsi="Arial" w:cs="Arial"/>
        </w:rPr>
        <w:t xml:space="preserve">e antibióticos e </w:t>
      </w:r>
      <w:r w:rsidR="005F3C9D">
        <w:rPr>
          <w:rFonts w:ascii="Arial" w:hAnsi="Arial" w:cs="Arial"/>
        </w:rPr>
        <w:t>corticoide</w:t>
      </w:r>
      <w:r w:rsidR="005F3C9D" w:rsidRPr="00192813">
        <w:rPr>
          <w:rFonts w:ascii="Arial" w:hAnsi="Arial" w:cs="Arial"/>
        </w:rPr>
        <w:t>s</w:t>
      </w:r>
      <w:r w:rsidRPr="00192813">
        <w:rPr>
          <w:rFonts w:ascii="Arial" w:hAnsi="Arial" w:cs="Arial"/>
        </w:rPr>
        <w:t xml:space="preserve"> </w:t>
      </w:r>
      <w:r w:rsidR="00D8144E">
        <w:rPr>
          <w:rFonts w:ascii="Arial" w:hAnsi="Arial" w:cs="Arial"/>
        </w:rPr>
        <w:t>em</w:t>
      </w:r>
      <w:r w:rsidRPr="00192813">
        <w:rPr>
          <w:rFonts w:ascii="Arial" w:hAnsi="Arial" w:cs="Arial"/>
        </w:rPr>
        <w:t xml:space="preserve"> pacientes com suspeita de meningite bacteriana.</w:t>
      </w:r>
    </w:p>
    <w:p w14:paraId="10A35A1E" w14:textId="56191A3C" w:rsidR="00DC2730" w:rsidRDefault="00DC2730" w:rsidP="00C54AD5">
      <w:pPr>
        <w:ind w:left="993"/>
        <w:jc w:val="both"/>
        <w:rPr>
          <w:rFonts w:ascii="Arial" w:hAnsi="Arial" w:cs="Arial"/>
        </w:rPr>
      </w:pPr>
    </w:p>
    <w:p w14:paraId="6E393652" w14:textId="77777777" w:rsidR="00F21E1E" w:rsidRDefault="00192813" w:rsidP="00192813">
      <w:pPr>
        <w:ind w:left="993"/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>A tomografia computador</w:t>
      </w:r>
      <w:r>
        <w:rPr>
          <w:rFonts w:ascii="Arial" w:hAnsi="Arial" w:cs="Arial"/>
        </w:rPr>
        <w:t xml:space="preserve">izada de crânio </w:t>
      </w:r>
      <w:r w:rsidRPr="00192813">
        <w:rPr>
          <w:rFonts w:ascii="Arial" w:hAnsi="Arial" w:cs="Arial"/>
        </w:rPr>
        <w:t xml:space="preserve">deve ser realizada antes da punção lombar em </w:t>
      </w:r>
      <w:r w:rsidRPr="00192813">
        <w:rPr>
          <w:rFonts w:ascii="Arial" w:hAnsi="Arial" w:cs="Arial"/>
          <w:u w:val="single"/>
        </w:rPr>
        <w:t>todos os pacientes</w:t>
      </w:r>
      <w:r w:rsidRPr="00192813">
        <w:rPr>
          <w:rFonts w:ascii="Arial" w:hAnsi="Arial" w:cs="Arial"/>
        </w:rPr>
        <w:t xml:space="preserve"> com história clínica, sinais ou sintomas de </w:t>
      </w:r>
      <w:r>
        <w:rPr>
          <w:rFonts w:ascii="Arial" w:hAnsi="Arial" w:cs="Arial"/>
        </w:rPr>
        <w:t>hiper</w:t>
      </w:r>
      <w:r w:rsidR="00D8144E">
        <w:rPr>
          <w:rFonts w:ascii="Arial" w:hAnsi="Arial" w:cs="Arial"/>
        </w:rPr>
        <w:t>tensão</w:t>
      </w:r>
      <w:r w:rsidRPr="00192813">
        <w:rPr>
          <w:rFonts w:ascii="Arial" w:hAnsi="Arial" w:cs="Arial"/>
        </w:rPr>
        <w:t xml:space="preserve"> intracraniana</w:t>
      </w:r>
      <w:r>
        <w:rPr>
          <w:rFonts w:ascii="Arial" w:hAnsi="Arial" w:cs="Arial"/>
        </w:rPr>
        <w:t xml:space="preserve"> (HIC), que pode </w:t>
      </w:r>
      <w:r w:rsidRPr="00192813">
        <w:rPr>
          <w:rFonts w:ascii="Arial" w:hAnsi="Arial" w:cs="Arial"/>
        </w:rPr>
        <w:t>ser decorrente de lesão expansiva, hemorragi</w:t>
      </w:r>
      <w:r>
        <w:rPr>
          <w:rFonts w:ascii="Arial" w:hAnsi="Arial" w:cs="Arial"/>
        </w:rPr>
        <w:t>a ou edema</w:t>
      </w:r>
      <w:r w:rsidR="00F21E1E">
        <w:rPr>
          <w:rFonts w:ascii="Arial" w:hAnsi="Arial" w:cs="Arial"/>
        </w:rPr>
        <w:t xml:space="preserve"> cerebral</w:t>
      </w:r>
      <w:r>
        <w:rPr>
          <w:rFonts w:ascii="Arial" w:hAnsi="Arial" w:cs="Arial"/>
        </w:rPr>
        <w:t xml:space="preserve"> importante. </w:t>
      </w:r>
    </w:p>
    <w:p w14:paraId="45C84F9B" w14:textId="77777777" w:rsidR="00F21E1E" w:rsidRDefault="00F21E1E" w:rsidP="00192813">
      <w:pPr>
        <w:ind w:left="993"/>
        <w:jc w:val="both"/>
        <w:rPr>
          <w:rFonts w:ascii="Arial" w:hAnsi="Arial" w:cs="Arial"/>
        </w:rPr>
      </w:pPr>
    </w:p>
    <w:p w14:paraId="2596D12D" w14:textId="65E7C927" w:rsidR="008B459A" w:rsidRDefault="00F21E1E" w:rsidP="00192813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Principais s</w:t>
      </w:r>
      <w:r w:rsidR="00192813">
        <w:rPr>
          <w:rFonts w:ascii="Arial" w:hAnsi="Arial" w:cs="Arial"/>
        </w:rPr>
        <w:t>inais e sint</w:t>
      </w:r>
      <w:r>
        <w:rPr>
          <w:rFonts w:ascii="Arial" w:hAnsi="Arial" w:cs="Arial"/>
        </w:rPr>
        <w:t>o</w:t>
      </w:r>
      <w:r w:rsidR="00192813">
        <w:rPr>
          <w:rFonts w:ascii="Arial" w:hAnsi="Arial" w:cs="Arial"/>
        </w:rPr>
        <w:t xml:space="preserve">mas de HIC: </w:t>
      </w:r>
      <w:r w:rsidR="00192813" w:rsidRPr="00192813">
        <w:rPr>
          <w:rFonts w:ascii="Arial" w:hAnsi="Arial" w:cs="Arial"/>
        </w:rPr>
        <w:t xml:space="preserve">vômitos, anisocoria, </w:t>
      </w:r>
      <w:r w:rsidR="00192813">
        <w:rPr>
          <w:rFonts w:ascii="Arial" w:hAnsi="Arial" w:cs="Arial"/>
        </w:rPr>
        <w:t xml:space="preserve">papiledema, </w:t>
      </w:r>
      <w:r w:rsidR="00192813" w:rsidRPr="00192813">
        <w:rPr>
          <w:rFonts w:ascii="Arial" w:hAnsi="Arial" w:cs="Arial"/>
        </w:rPr>
        <w:t xml:space="preserve">cefaleia de forte intensidade, alterações do estado mental ou sinais </w:t>
      </w:r>
      <w:r w:rsidR="00192813">
        <w:rPr>
          <w:rFonts w:ascii="Arial" w:hAnsi="Arial" w:cs="Arial"/>
        </w:rPr>
        <w:t>localizatórios</w:t>
      </w:r>
      <w:r w:rsidR="00192813" w:rsidRPr="00192813">
        <w:rPr>
          <w:rFonts w:ascii="Arial" w:hAnsi="Arial" w:cs="Arial"/>
        </w:rPr>
        <w:t xml:space="preserve">. </w:t>
      </w:r>
      <w:r w:rsidR="00192813">
        <w:rPr>
          <w:rFonts w:ascii="Arial" w:hAnsi="Arial" w:cs="Arial"/>
        </w:rPr>
        <w:t xml:space="preserve">A HIC é mais </w:t>
      </w:r>
      <w:r w:rsidR="00192813" w:rsidRPr="00192813">
        <w:rPr>
          <w:rFonts w:ascii="Arial" w:hAnsi="Arial" w:cs="Arial"/>
        </w:rPr>
        <w:t xml:space="preserve">comum em pacientes com </w:t>
      </w:r>
      <w:r w:rsidR="00192813">
        <w:rPr>
          <w:rFonts w:ascii="Arial" w:hAnsi="Arial" w:cs="Arial"/>
        </w:rPr>
        <w:t>imunodepressão</w:t>
      </w:r>
      <w:r w:rsidR="00192813" w:rsidRPr="00192813">
        <w:rPr>
          <w:rFonts w:ascii="Arial" w:hAnsi="Arial" w:cs="Arial"/>
        </w:rPr>
        <w:t xml:space="preserve"> (mais suscetíveis a lesões cerebrais expansivas, como abscessos</w:t>
      </w:r>
      <w:r w:rsidR="00192813">
        <w:rPr>
          <w:rFonts w:ascii="Arial" w:hAnsi="Arial" w:cs="Arial"/>
        </w:rPr>
        <w:t xml:space="preserve"> ou tumores)</w:t>
      </w:r>
      <w:r w:rsidR="00192813" w:rsidRPr="00192813">
        <w:rPr>
          <w:rFonts w:ascii="Arial" w:hAnsi="Arial" w:cs="Arial"/>
        </w:rPr>
        <w:t xml:space="preserve"> e nos pacientes com suspeita de hemorragia </w:t>
      </w:r>
      <w:proofErr w:type="spellStart"/>
      <w:r w:rsidR="00192813" w:rsidRPr="00192813">
        <w:rPr>
          <w:rFonts w:ascii="Arial" w:hAnsi="Arial" w:cs="Arial"/>
        </w:rPr>
        <w:t>subaracnoidea</w:t>
      </w:r>
      <w:proofErr w:type="spellEnd"/>
      <w:r w:rsidR="00192813">
        <w:rPr>
          <w:rFonts w:ascii="Arial" w:hAnsi="Arial" w:cs="Arial"/>
        </w:rPr>
        <w:t>.</w:t>
      </w:r>
    </w:p>
    <w:p w14:paraId="2451E0B6" w14:textId="7426620F" w:rsidR="00192813" w:rsidRDefault="00192813" w:rsidP="00192813">
      <w:pPr>
        <w:ind w:left="993"/>
        <w:jc w:val="both"/>
        <w:rPr>
          <w:rFonts w:ascii="Arial" w:hAnsi="Arial" w:cs="Arial"/>
        </w:rPr>
      </w:pPr>
    </w:p>
    <w:p w14:paraId="7F8CBF46" w14:textId="77777777" w:rsidR="00192813" w:rsidRDefault="00192813" w:rsidP="00192813">
      <w:pPr>
        <w:ind w:left="993"/>
        <w:jc w:val="both"/>
        <w:rPr>
          <w:rFonts w:ascii="Arial" w:hAnsi="Arial" w:cs="Arial"/>
        </w:rPr>
      </w:pPr>
    </w:p>
    <w:p w14:paraId="42C4C70E" w14:textId="3DE5CBD6" w:rsidR="008058EB" w:rsidRDefault="00192813" w:rsidP="00C54AD5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Indicações</w:t>
      </w:r>
      <w:r w:rsidR="008058EB">
        <w:rPr>
          <w:rFonts w:ascii="Arial" w:hAnsi="Arial" w:cs="Arial"/>
        </w:rPr>
        <w:t>:</w:t>
      </w:r>
    </w:p>
    <w:p w14:paraId="6845850F" w14:textId="4E0E71A1" w:rsidR="008058EB" w:rsidRDefault="008058EB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7D85BDD0" w14:textId="081CC386" w:rsidR="00192813" w:rsidRDefault="00192813" w:rsidP="0019281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92813">
        <w:rPr>
          <w:rFonts w:ascii="Arial" w:hAnsi="Arial" w:cs="Arial"/>
        </w:rPr>
        <w:t xml:space="preserve">uspeita de hemorragia </w:t>
      </w:r>
      <w:proofErr w:type="spellStart"/>
      <w:r w:rsidRPr="00192813">
        <w:rPr>
          <w:rFonts w:ascii="Arial" w:hAnsi="Arial" w:cs="Arial"/>
        </w:rPr>
        <w:t>subaracnoidea</w:t>
      </w:r>
      <w:proofErr w:type="spellEnd"/>
      <w:r w:rsidRPr="00192813">
        <w:rPr>
          <w:rFonts w:ascii="Arial" w:hAnsi="Arial" w:cs="Arial"/>
        </w:rPr>
        <w:t xml:space="preserve">, </w:t>
      </w:r>
    </w:p>
    <w:p w14:paraId="46EE928E" w14:textId="77777777" w:rsidR="00192813" w:rsidRDefault="00192813" w:rsidP="0019281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92813">
        <w:rPr>
          <w:rFonts w:ascii="Arial" w:hAnsi="Arial" w:cs="Arial"/>
        </w:rPr>
        <w:t>uspeita de infecção do sistema nervoso central (SNC),</w:t>
      </w:r>
    </w:p>
    <w:p w14:paraId="1C766A10" w14:textId="77777777" w:rsidR="00192813" w:rsidRDefault="00192813" w:rsidP="0019281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92813">
        <w:rPr>
          <w:rFonts w:ascii="Arial" w:hAnsi="Arial" w:cs="Arial"/>
        </w:rPr>
        <w:t>lívio terapêu</w:t>
      </w:r>
      <w:r>
        <w:rPr>
          <w:rFonts w:ascii="Arial" w:hAnsi="Arial" w:cs="Arial"/>
        </w:rPr>
        <w:t>tico no pseudotumor cerebral;</w:t>
      </w:r>
    </w:p>
    <w:p w14:paraId="7360DE3F" w14:textId="77777777" w:rsidR="00192813" w:rsidRDefault="00192813" w:rsidP="0019281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92813">
        <w:rPr>
          <w:rFonts w:ascii="Arial" w:hAnsi="Arial" w:cs="Arial"/>
        </w:rPr>
        <w:t xml:space="preserve">uspeita de doença do sistema nervoso central, como síndrome de Guillain-Barré, esclerose múltipla e meningite carcinomatosa. </w:t>
      </w:r>
    </w:p>
    <w:p w14:paraId="642DF7C2" w14:textId="26A6D642" w:rsidR="00192813" w:rsidRDefault="00192813" w:rsidP="00192813">
      <w:pPr>
        <w:pStyle w:val="PargrafodaLista"/>
        <w:ind w:left="1353"/>
        <w:jc w:val="both"/>
        <w:rPr>
          <w:rFonts w:ascii="Arial" w:hAnsi="Arial" w:cs="Arial"/>
        </w:rPr>
      </w:pPr>
    </w:p>
    <w:p w14:paraId="78065A59" w14:textId="485AC3CE" w:rsidR="00192813" w:rsidRDefault="00192813" w:rsidP="00192813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Contraindicações Relativas</w:t>
      </w:r>
      <w:r>
        <w:rPr>
          <w:rFonts w:ascii="Arial" w:hAnsi="Arial" w:cs="Arial"/>
        </w:rPr>
        <w:t>:</w:t>
      </w:r>
    </w:p>
    <w:p w14:paraId="69766290" w14:textId="77777777" w:rsidR="00192813" w:rsidRPr="00192813" w:rsidRDefault="00192813" w:rsidP="00192813">
      <w:pPr>
        <w:pStyle w:val="PargrafodaLista"/>
        <w:ind w:left="1353"/>
        <w:jc w:val="both"/>
        <w:rPr>
          <w:rFonts w:ascii="Arial" w:hAnsi="Arial" w:cs="Arial"/>
        </w:rPr>
      </w:pPr>
    </w:p>
    <w:p w14:paraId="79B6FA84" w14:textId="77777777" w:rsidR="00192813" w:rsidRDefault="00192813" w:rsidP="0019281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192813">
        <w:rPr>
          <w:rFonts w:ascii="Arial" w:hAnsi="Arial" w:cs="Arial"/>
        </w:rPr>
        <w:t>ument</w:t>
      </w:r>
      <w:r>
        <w:rPr>
          <w:rFonts w:ascii="Arial" w:hAnsi="Arial" w:cs="Arial"/>
        </w:rPr>
        <w:t>o da pressão intracraniana;</w:t>
      </w:r>
    </w:p>
    <w:p w14:paraId="73372600" w14:textId="647C7839" w:rsidR="00192813" w:rsidRDefault="00192813" w:rsidP="0019281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Coagulopatias</w:t>
      </w:r>
      <w:proofErr w:type="spellEnd"/>
      <w:r w:rsidR="003E330D">
        <w:rPr>
          <w:rFonts w:ascii="Arial" w:hAnsi="Arial" w:cs="Arial"/>
        </w:rPr>
        <w:t xml:space="preserve"> / trombocitopenia</w:t>
      </w:r>
      <w:r w:rsidR="00F21E1E">
        <w:rPr>
          <w:rFonts w:ascii="Arial" w:hAnsi="Arial" w:cs="Arial"/>
        </w:rPr>
        <w:t xml:space="preserve"> (plaquetas &lt; 50.000)</w:t>
      </w:r>
      <w:r>
        <w:rPr>
          <w:rFonts w:ascii="Arial" w:hAnsi="Arial" w:cs="Arial"/>
        </w:rPr>
        <w:t>;</w:t>
      </w:r>
    </w:p>
    <w:p w14:paraId="5BDB2A67" w14:textId="096D9807" w:rsidR="00192813" w:rsidRDefault="00192813" w:rsidP="0019281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3E330D">
        <w:rPr>
          <w:rFonts w:ascii="Arial" w:hAnsi="Arial" w:cs="Arial"/>
        </w:rPr>
        <w:t>bscesso cerebral;</w:t>
      </w:r>
    </w:p>
    <w:p w14:paraId="4C6E0535" w14:textId="2CD3855C" w:rsidR="003E330D" w:rsidRDefault="003E330D" w:rsidP="0019281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Neutropenia</w:t>
      </w:r>
    </w:p>
    <w:p w14:paraId="740681F6" w14:textId="77777777" w:rsidR="00192813" w:rsidRPr="00192813" w:rsidRDefault="00192813" w:rsidP="00192813">
      <w:pPr>
        <w:jc w:val="both"/>
        <w:rPr>
          <w:rFonts w:ascii="Arial" w:hAnsi="Arial" w:cs="Arial"/>
        </w:rPr>
      </w:pPr>
    </w:p>
    <w:p w14:paraId="6FF2B700" w14:textId="63B2C4DC" w:rsidR="006977D7" w:rsidRPr="00F11DFB" w:rsidRDefault="00192813" w:rsidP="00C54AD5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&gt;&gt; </w:t>
      </w:r>
      <w:r w:rsidR="006977D7">
        <w:rPr>
          <w:rFonts w:ascii="Arial" w:hAnsi="Arial" w:cs="Arial"/>
        </w:rPr>
        <w:t xml:space="preserve">Na suspeita de HIC com neuroimagem normal, há indicação da punção lombar com </w:t>
      </w:r>
      <w:proofErr w:type="spellStart"/>
      <w:r w:rsidR="006977D7">
        <w:rPr>
          <w:rFonts w:ascii="Arial" w:hAnsi="Arial" w:cs="Arial"/>
        </w:rPr>
        <w:t>manometria</w:t>
      </w:r>
      <w:proofErr w:type="spellEnd"/>
      <w:r w:rsidR="006977D7">
        <w:rPr>
          <w:rFonts w:ascii="Arial" w:hAnsi="Arial" w:cs="Arial"/>
        </w:rPr>
        <w:t xml:space="preserve"> (medida da pressão de abertura).</w:t>
      </w:r>
    </w:p>
    <w:p w14:paraId="3CF49382" w14:textId="77777777" w:rsidR="00F94BD3" w:rsidRPr="00F11DFB" w:rsidRDefault="00F94BD3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65C4EC2A" w14:textId="1B99E3D9" w:rsidR="00DC2730" w:rsidRDefault="00DC2730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1F238732" w14:textId="1FDBCD74" w:rsidR="00192813" w:rsidRDefault="00192813" w:rsidP="00192813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Contraindicações Absolutas</w:t>
      </w:r>
      <w:r>
        <w:rPr>
          <w:rFonts w:ascii="Arial" w:hAnsi="Arial" w:cs="Arial"/>
        </w:rPr>
        <w:t>:</w:t>
      </w:r>
    </w:p>
    <w:p w14:paraId="79C6AA0F" w14:textId="5577046C" w:rsidR="00E76EAE" w:rsidRDefault="00E76EAE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4EA4FB19" w14:textId="77777777" w:rsidR="00DC2730" w:rsidRPr="00F11DFB" w:rsidRDefault="00DC2730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280F515A" w14:textId="77777777" w:rsidR="00192813" w:rsidRDefault="00192813" w:rsidP="0019281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192813">
        <w:rPr>
          <w:rFonts w:ascii="Arial" w:hAnsi="Arial" w:cs="Arial"/>
        </w:rPr>
        <w:t>nfecção cutânea no local de penetração da agulha</w:t>
      </w:r>
      <w:r>
        <w:rPr>
          <w:rFonts w:ascii="Arial" w:hAnsi="Arial" w:cs="Arial"/>
        </w:rPr>
        <w:t>;</w:t>
      </w:r>
    </w:p>
    <w:p w14:paraId="6CCD6EA0" w14:textId="25DDE675" w:rsidR="00192813" w:rsidRDefault="00192813" w:rsidP="0019281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192813">
        <w:rPr>
          <w:rFonts w:ascii="Arial" w:hAnsi="Arial" w:cs="Arial"/>
        </w:rPr>
        <w:t xml:space="preserve">iferença de pressão entre os compartimentos </w:t>
      </w:r>
      <w:proofErr w:type="spellStart"/>
      <w:r w:rsidRPr="00192813">
        <w:rPr>
          <w:rFonts w:ascii="Arial" w:hAnsi="Arial" w:cs="Arial"/>
        </w:rPr>
        <w:t>s</w:t>
      </w:r>
      <w:r>
        <w:rPr>
          <w:rFonts w:ascii="Arial" w:hAnsi="Arial" w:cs="Arial"/>
        </w:rPr>
        <w:t>upratentorial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infratentorial</w:t>
      </w:r>
      <w:proofErr w:type="spellEnd"/>
      <w:r>
        <w:rPr>
          <w:rFonts w:ascii="Arial" w:hAnsi="Arial" w:cs="Arial"/>
        </w:rPr>
        <w:t xml:space="preserve">, </w:t>
      </w:r>
      <w:r w:rsidR="00F21E1E">
        <w:rPr>
          <w:rFonts w:ascii="Arial" w:hAnsi="Arial" w:cs="Arial"/>
        </w:rPr>
        <w:t>quando presentes as seguintes alterações na</w:t>
      </w:r>
      <w:r w:rsidRPr="00192813">
        <w:rPr>
          <w:rFonts w:ascii="Arial" w:hAnsi="Arial" w:cs="Arial"/>
        </w:rPr>
        <w:t xml:space="preserve"> tomografia</w:t>
      </w:r>
      <w:r>
        <w:rPr>
          <w:rFonts w:ascii="Arial" w:hAnsi="Arial" w:cs="Arial"/>
        </w:rPr>
        <w:t xml:space="preserve"> de crânio</w:t>
      </w:r>
      <w:r w:rsidRPr="00192813">
        <w:rPr>
          <w:rFonts w:ascii="Arial" w:hAnsi="Arial" w:cs="Arial"/>
        </w:rPr>
        <w:t xml:space="preserve">: desvio da linha média, apagamento das cisternas </w:t>
      </w:r>
      <w:proofErr w:type="spellStart"/>
      <w:r w:rsidRPr="00192813">
        <w:rPr>
          <w:rFonts w:ascii="Arial" w:hAnsi="Arial" w:cs="Arial"/>
        </w:rPr>
        <w:t>supraquiasmática</w:t>
      </w:r>
      <w:proofErr w:type="spellEnd"/>
      <w:r w:rsidRPr="00192813">
        <w:rPr>
          <w:rFonts w:ascii="Arial" w:hAnsi="Arial" w:cs="Arial"/>
        </w:rPr>
        <w:t xml:space="preserve"> e basilar, massa na fossa posterior, perda da cisterna cerebelar superior e apagamento da cisterna da placa </w:t>
      </w:r>
      <w:proofErr w:type="spellStart"/>
      <w:r w:rsidRPr="00192813">
        <w:rPr>
          <w:rFonts w:ascii="Arial" w:hAnsi="Arial" w:cs="Arial"/>
        </w:rPr>
        <w:t>quadrigeminal</w:t>
      </w:r>
      <w:proofErr w:type="spellEnd"/>
      <w:r w:rsidRPr="00192813">
        <w:rPr>
          <w:rFonts w:ascii="Arial" w:hAnsi="Arial" w:cs="Arial"/>
        </w:rPr>
        <w:t>.</w:t>
      </w:r>
    </w:p>
    <w:p w14:paraId="3C6E2071" w14:textId="77777777" w:rsidR="00192813" w:rsidRDefault="00192813" w:rsidP="00192813">
      <w:pPr>
        <w:pStyle w:val="PargrafodaLista"/>
        <w:ind w:left="1353"/>
        <w:jc w:val="both"/>
        <w:rPr>
          <w:rFonts w:ascii="Arial" w:hAnsi="Arial" w:cs="Arial"/>
        </w:rPr>
      </w:pPr>
    </w:p>
    <w:p w14:paraId="79378D80" w14:textId="4E3A22A2" w:rsidR="00192813" w:rsidRPr="00192813" w:rsidRDefault="00192813" w:rsidP="003E330D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</w:t>
      </w:r>
      <w:r w:rsidR="003E330D">
        <w:rPr>
          <w:rFonts w:ascii="Arial" w:hAnsi="Arial" w:cs="Arial"/>
        </w:rPr>
        <w:t xml:space="preserve"> Evitar</w:t>
      </w:r>
      <w:r w:rsidRPr="00192813">
        <w:rPr>
          <w:rFonts w:ascii="Arial" w:hAnsi="Arial" w:cs="Arial"/>
        </w:rPr>
        <w:t xml:space="preserve"> </w:t>
      </w:r>
      <w:r w:rsidR="003E330D">
        <w:rPr>
          <w:rFonts w:ascii="Arial" w:hAnsi="Arial" w:cs="Arial"/>
        </w:rPr>
        <w:t>realizar a</w:t>
      </w:r>
      <w:r w:rsidRPr="00192813">
        <w:rPr>
          <w:rFonts w:ascii="Arial" w:hAnsi="Arial" w:cs="Arial"/>
        </w:rPr>
        <w:t xml:space="preserve"> punção lombar em pacientes </w:t>
      </w:r>
      <w:r w:rsidR="003E330D">
        <w:rPr>
          <w:rFonts w:ascii="Arial" w:hAnsi="Arial" w:cs="Arial"/>
        </w:rPr>
        <w:t>com</w:t>
      </w:r>
      <w:r w:rsidRPr="00192813">
        <w:rPr>
          <w:rFonts w:ascii="Arial" w:hAnsi="Arial" w:cs="Arial"/>
        </w:rPr>
        <w:t xml:space="preserve"> iminência de </w:t>
      </w:r>
      <w:proofErr w:type="spellStart"/>
      <w:r w:rsidRPr="00192813">
        <w:rPr>
          <w:rFonts w:ascii="Arial" w:hAnsi="Arial" w:cs="Arial"/>
        </w:rPr>
        <w:t>herniação</w:t>
      </w:r>
      <w:proofErr w:type="spellEnd"/>
      <w:r w:rsidRPr="00192813">
        <w:rPr>
          <w:rFonts w:ascii="Arial" w:hAnsi="Arial" w:cs="Arial"/>
        </w:rPr>
        <w:t xml:space="preserve"> cerebral</w:t>
      </w:r>
      <w:r w:rsidR="003E330D">
        <w:rPr>
          <w:rFonts w:ascii="Arial" w:hAnsi="Arial" w:cs="Arial"/>
        </w:rPr>
        <w:t>, como rebaixamento</w:t>
      </w:r>
      <w:r w:rsidRPr="00192813">
        <w:rPr>
          <w:rFonts w:ascii="Arial" w:hAnsi="Arial" w:cs="Arial"/>
        </w:rPr>
        <w:t xml:space="preserve"> do nível de consciência, </w:t>
      </w:r>
      <w:r w:rsidR="003E330D">
        <w:rPr>
          <w:rFonts w:ascii="Arial" w:hAnsi="Arial" w:cs="Arial"/>
        </w:rPr>
        <w:t>alt</w:t>
      </w:r>
      <w:r w:rsidRPr="00192813">
        <w:rPr>
          <w:rFonts w:ascii="Arial" w:hAnsi="Arial" w:cs="Arial"/>
        </w:rPr>
        <w:t>erações pupilares, anisocoria, posturas típicas, respiraçã</w:t>
      </w:r>
      <w:r w:rsidR="003E330D">
        <w:rPr>
          <w:rFonts w:ascii="Arial" w:hAnsi="Arial" w:cs="Arial"/>
        </w:rPr>
        <w:t>o irregular e crise epiléptica recente.</w:t>
      </w:r>
    </w:p>
    <w:p w14:paraId="633C5618" w14:textId="4CDED13F" w:rsidR="00192813" w:rsidRDefault="00192813" w:rsidP="00192813">
      <w:pPr>
        <w:pStyle w:val="PargrafodaLista"/>
        <w:ind w:left="993"/>
        <w:jc w:val="both"/>
        <w:rPr>
          <w:rFonts w:ascii="Arial" w:hAnsi="Arial" w:cs="Arial"/>
        </w:rPr>
      </w:pPr>
    </w:p>
    <w:p w14:paraId="1B0E4750" w14:textId="77777777" w:rsidR="00F21E1E" w:rsidRPr="00192813" w:rsidRDefault="00F21E1E" w:rsidP="00192813">
      <w:pPr>
        <w:pStyle w:val="PargrafodaLista"/>
        <w:ind w:left="993"/>
        <w:jc w:val="both"/>
        <w:rPr>
          <w:rFonts w:ascii="Arial" w:hAnsi="Arial" w:cs="Arial"/>
        </w:rPr>
      </w:pPr>
    </w:p>
    <w:p w14:paraId="5FA023AC" w14:textId="51AF624D" w:rsidR="003E330D" w:rsidRDefault="003E330D" w:rsidP="003E330D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Indicações de TC de crânio antes da punção lombar</w:t>
      </w:r>
      <w:r>
        <w:rPr>
          <w:rFonts w:ascii="Arial" w:hAnsi="Arial" w:cs="Arial"/>
        </w:rPr>
        <w:t>:</w:t>
      </w:r>
    </w:p>
    <w:p w14:paraId="017AA8E6" w14:textId="77777777" w:rsidR="00192813" w:rsidRPr="00192813" w:rsidRDefault="00192813" w:rsidP="00192813">
      <w:pPr>
        <w:pStyle w:val="PargrafodaLista"/>
        <w:ind w:left="993"/>
        <w:jc w:val="both"/>
        <w:rPr>
          <w:rFonts w:ascii="Arial" w:hAnsi="Arial" w:cs="Arial"/>
        </w:rPr>
      </w:pPr>
    </w:p>
    <w:p w14:paraId="472AD0BD" w14:textId="058D18DA" w:rsidR="00192813" w:rsidRPr="00192813" w:rsidRDefault="00192813" w:rsidP="003E330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>Pacientes imunodeprimidos</w:t>
      </w:r>
      <w:r w:rsidR="003E330D">
        <w:rPr>
          <w:rFonts w:ascii="Arial" w:hAnsi="Arial" w:cs="Arial"/>
        </w:rPr>
        <w:t>;</w:t>
      </w:r>
    </w:p>
    <w:p w14:paraId="5096C783" w14:textId="10FF0BCF" w:rsidR="00192813" w:rsidRPr="00192813" w:rsidRDefault="00192813" w:rsidP="003E330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>Pacientes com lesões conhecidas no sistema nervoso central</w:t>
      </w:r>
      <w:r w:rsidR="003E330D">
        <w:rPr>
          <w:rFonts w:ascii="Arial" w:hAnsi="Arial" w:cs="Arial"/>
        </w:rPr>
        <w:t>;</w:t>
      </w:r>
    </w:p>
    <w:p w14:paraId="4370D929" w14:textId="6730A98B" w:rsidR="00192813" w:rsidRPr="00192813" w:rsidRDefault="00192813" w:rsidP="003E330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 xml:space="preserve">Pacientes com história de </w:t>
      </w:r>
      <w:r w:rsidR="003E330D">
        <w:rPr>
          <w:rFonts w:ascii="Arial" w:hAnsi="Arial" w:cs="Arial"/>
        </w:rPr>
        <w:t>crise epiléptica</w:t>
      </w:r>
      <w:r w:rsidRPr="00192813">
        <w:rPr>
          <w:rFonts w:ascii="Arial" w:hAnsi="Arial" w:cs="Arial"/>
        </w:rPr>
        <w:t xml:space="preserve"> há menos de uma semana</w:t>
      </w:r>
      <w:r w:rsidR="003E330D">
        <w:rPr>
          <w:rFonts w:ascii="Arial" w:hAnsi="Arial" w:cs="Arial"/>
        </w:rPr>
        <w:t>;</w:t>
      </w:r>
    </w:p>
    <w:p w14:paraId="5B47DB4D" w14:textId="50E532A8" w:rsidR="00192813" w:rsidRPr="00192813" w:rsidRDefault="00192813" w:rsidP="003E330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>Pacientes com nível de consciência alterado</w:t>
      </w:r>
      <w:r w:rsidR="003E330D">
        <w:rPr>
          <w:rFonts w:ascii="Arial" w:hAnsi="Arial" w:cs="Arial"/>
        </w:rPr>
        <w:t>;</w:t>
      </w:r>
    </w:p>
    <w:p w14:paraId="6EB4F7E7" w14:textId="03D525DC" w:rsidR="00192813" w:rsidRPr="00192813" w:rsidRDefault="00192813" w:rsidP="003E330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>Pacientes com sinais focais no exame neurológico</w:t>
      </w:r>
      <w:r w:rsidR="003E330D">
        <w:rPr>
          <w:rFonts w:ascii="Arial" w:hAnsi="Arial" w:cs="Arial"/>
        </w:rPr>
        <w:t>;</w:t>
      </w:r>
    </w:p>
    <w:p w14:paraId="3389B0E7" w14:textId="231A1FB2" w:rsidR="00416765" w:rsidRPr="00F11DFB" w:rsidRDefault="00192813" w:rsidP="003E330D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192813">
        <w:rPr>
          <w:rFonts w:ascii="Arial" w:hAnsi="Arial" w:cs="Arial"/>
        </w:rPr>
        <w:t>Pacientes com papiledema ao exame físico e suspeita clínica de aumento da pressão intracraniana</w:t>
      </w:r>
      <w:r w:rsidR="003E330D">
        <w:rPr>
          <w:rFonts w:ascii="Arial" w:hAnsi="Arial" w:cs="Arial"/>
        </w:rPr>
        <w:t>.</w:t>
      </w:r>
    </w:p>
    <w:p w14:paraId="2A41C0E1" w14:textId="0DD29159" w:rsidR="00DC2730" w:rsidRDefault="00DC2730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621EA92B" w14:textId="77777777" w:rsidR="00F21E1E" w:rsidRDefault="00F21E1E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3D38FCA5" w14:textId="7C42BD5D" w:rsidR="003E330D" w:rsidRPr="00F11DFB" w:rsidRDefault="003E330D" w:rsidP="00C54AD5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Complicações:</w:t>
      </w:r>
    </w:p>
    <w:p w14:paraId="74B0140F" w14:textId="0F2F91B3" w:rsidR="00BD0F37" w:rsidRPr="00F11DFB" w:rsidRDefault="00F70975" w:rsidP="00C54A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E89E605" w14:textId="42B8105C" w:rsidR="003E330D" w:rsidRDefault="003E330D" w:rsidP="003E330D">
      <w:pPr>
        <w:ind w:left="993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E330D">
        <w:rPr>
          <w:rFonts w:ascii="Arial" w:hAnsi="Arial" w:cs="Arial"/>
        </w:rPr>
        <w:t xml:space="preserve">s complicações são muito raras e a punção lombar costuma </w:t>
      </w:r>
      <w:r>
        <w:rPr>
          <w:rFonts w:ascii="Arial" w:hAnsi="Arial" w:cs="Arial"/>
        </w:rPr>
        <w:t>ser considerado</w:t>
      </w:r>
      <w:r w:rsidRPr="003E330D">
        <w:rPr>
          <w:rFonts w:ascii="Arial" w:hAnsi="Arial" w:cs="Arial"/>
        </w:rPr>
        <w:t xml:space="preserve"> um procedimento seguro</w:t>
      </w:r>
      <w:r>
        <w:rPr>
          <w:rFonts w:ascii="Arial" w:hAnsi="Arial" w:cs="Arial"/>
        </w:rPr>
        <w:t xml:space="preserve">. </w:t>
      </w:r>
      <w:r w:rsidRPr="003E330D">
        <w:rPr>
          <w:rFonts w:ascii="Arial" w:hAnsi="Arial" w:cs="Arial"/>
        </w:rPr>
        <w:t xml:space="preserve">A mais comum </w:t>
      </w:r>
      <w:r w:rsidR="00F21E1E">
        <w:rPr>
          <w:rFonts w:ascii="Arial" w:hAnsi="Arial" w:cs="Arial"/>
        </w:rPr>
        <w:t>é a cefaleia pós-punção</w:t>
      </w:r>
      <w:r w:rsidRPr="003E330D">
        <w:rPr>
          <w:rFonts w:ascii="Arial" w:hAnsi="Arial" w:cs="Arial"/>
        </w:rPr>
        <w:t>, que pode oco</w:t>
      </w:r>
      <w:r>
        <w:rPr>
          <w:rFonts w:ascii="Arial" w:hAnsi="Arial" w:cs="Arial"/>
        </w:rPr>
        <w:t>rrer em 10% a 40% dos pacientes, mas pode ser reduzida se forem utilizadas agulhas menos calibrosas. A dor também est</w:t>
      </w:r>
      <w:r w:rsidR="00D8144E">
        <w:rPr>
          <w:rFonts w:ascii="Arial" w:hAnsi="Arial" w:cs="Arial"/>
        </w:rPr>
        <w:t>á associada</w:t>
      </w:r>
      <w:r>
        <w:rPr>
          <w:rFonts w:ascii="Arial" w:hAnsi="Arial" w:cs="Arial"/>
        </w:rPr>
        <w:t xml:space="preserve"> a procedimentos com </w:t>
      </w:r>
      <w:r w:rsidRPr="003E330D">
        <w:rPr>
          <w:rFonts w:ascii="Arial" w:hAnsi="Arial" w:cs="Arial"/>
        </w:rPr>
        <w:t xml:space="preserve">dificuldades técnicas, </w:t>
      </w:r>
      <w:r>
        <w:rPr>
          <w:rFonts w:ascii="Arial" w:hAnsi="Arial" w:cs="Arial"/>
        </w:rPr>
        <w:t>quando</w:t>
      </w:r>
      <w:r w:rsidRPr="003E330D">
        <w:rPr>
          <w:rFonts w:ascii="Arial" w:hAnsi="Arial" w:cs="Arial"/>
        </w:rPr>
        <w:t xml:space="preserve"> são feitas várias tentativas de inserção da agulha</w:t>
      </w:r>
      <w:r>
        <w:rPr>
          <w:rFonts w:ascii="Arial" w:hAnsi="Arial" w:cs="Arial"/>
        </w:rPr>
        <w:t xml:space="preserve"> sem sucesso. </w:t>
      </w:r>
      <w:r w:rsidRPr="003E330D">
        <w:rPr>
          <w:rFonts w:ascii="Arial" w:hAnsi="Arial" w:cs="Arial"/>
        </w:rPr>
        <w:t>Embora a cefaleia pós-</w:t>
      </w:r>
      <w:r w:rsidR="00F21E1E">
        <w:rPr>
          <w:rFonts w:ascii="Arial" w:hAnsi="Arial" w:cs="Arial"/>
        </w:rPr>
        <w:t>punção</w:t>
      </w:r>
      <w:r w:rsidRPr="003E330D">
        <w:rPr>
          <w:rFonts w:ascii="Arial" w:hAnsi="Arial" w:cs="Arial"/>
        </w:rPr>
        <w:t xml:space="preserve"> não seja perigosa, pode ser muito forte e resistente </w:t>
      </w:r>
      <w:r>
        <w:rPr>
          <w:rFonts w:ascii="Arial" w:hAnsi="Arial" w:cs="Arial"/>
        </w:rPr>
        <w:t xml:space="preserve">à </w:t>
      </w:r>
      <w:r w:rsidRPr="003E330D">
        <w:rPr>
          <w:rFonts w:ascii="Arial" w:hAnsi="Arial" w:cs="Arial"/>
        </w:rPr>
        <w:t>analgesia</w:t>
      </w:r>
      <w:r>
        <w:rPr>
          <w:rFonts w:ascii="Arial" w:hAnsi="Arial" w:cs="Arial"/>
        </w:rPr>
        <w:t xml:space="preserve"> co</w:t>
      </w:r>
      <w:r w:rsidR="00D8144E">
        <w:rPr>
          <w:rFonts w:ascii="Arial" w:hAnsi="Arial" w:cs="Arial"/>
        </w:rPr>
        <w:t>mum.</w:t>
      </w:r>
      <w:r>
        <w:rPr>
          <w:rFonts w:ascii="Arial" w:hAnsi="Arial" w:cs="Arial"/>
        </w:rPr>
        <w:t xml:space="preserve"> Outras</w:t>
      </w:r>
      <w:r w:rsidR="00D814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complicações menos frequentes são hemorragia, infecção (</w:t>
      </w:r>
      <w:r w:rsidRPr="003E330D">
        <w:rPr>
          <w:rFonts w:ascii="Arial" w:hAnsi="Arial" w:cs="Arial"/>
        </w:rPr>
        <w:t>cutânea</w:t>
      </w:r>
      <w:r>
        <w:rPr>
          <w:rFonts w:ascii="Arial" w:hAnsi="Arial" w:cs="Arial"/>
        </w:rPr>
        <w:t xml:space="preserve"> –</w:t>
      </w:r>
      <w:r w:rsidRPr="003E330D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 xml:space="preserve">o local da introdução da agulha, </w:t>
      </w:r>
      <w:r w:rsidRPr="003E330D">
        <w:rPr>
          <w:rFonts w:ascii="Arial" w:hAnsi="Arial" w:cs="Arial"/>
        </w:rPr>
        <w:t xml:space="preserve">ou meníngea) e lesões </w:t>
      </w:r>
      <w:r>
        <w:rPr>
          <w:rFonts w:ascii="Arial" w:hAnsi="Arial" w:cs="Arial"/>
        </w:rPr>
        <w:t>em</w:t>
      </w:r>
      <w:r w:rsidRPr="003E330D">
        <w:rPr>
          <w:rFonts w:ascii="Arial" w:hAnsi="Arial" w:cs="Arial"/>
        </w:rPr>
        <w:t xml:space="preserve"> estruturas adjacentes, como os nervos da cauda equina. </w:t>
      </w:r>
    </w:p>
    <w:p w14:paraId="42D83822" w14:textId="2A5865ED" w:rsidR="003E330D" w:rsidRDefault="003E330D" w:rsidP="003E330D">
      <w:pPr>
        <w:ind w:left="993" w:firstLine="11"/>
        <w:jc w:val="both"/>
        <w:rPr>
          <w:rFonts w:ascii="Arial" w:hAnsi="Arial" w:cs="Arial"/>
        </w:rPr>
      </w:pPr>
    </w:p>
    <w:p w14:paraId="1C4AFA09" w14:textId="0366E2F2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1D1D0FD2" w14:textId="7EF49DB6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095358B0" w14:textId="5D7E1E4B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4A5D1297" w14:textId="6F9F018C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420B37C5" w14:textId="43674739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6C243A8F" w14:textId="44E76C85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7D3B0BCB" w14:textId="5D407703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0D228922" w14:textId="00F38511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19449AFF" w14:textId="77FAD67E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6D038B68" w14:textId="3C07FF1B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19D27F0F" w14:textId="3B612A88" w:rsidR="00F21E1E" w:rsidRDefault="00F21E1E" w:rsidP="003E330D">
      <w:pPr>
        <w:ind w:left="993" w:firstLine="11"/>
        <w:jc w:val="both"/>
        <w:rPr>
          <w:rFonts w:ascii="Arial" w:hAnsi="Arial" w:cs="Arial"/>
        </w:rPr>
      </w:pPr>
    </w:p>
    <w:p w14:paraId="1184F8FE" w14:textId="77777777" w:rsidR="00F21E1E" w:rsidRDefault="00F21E1E" w:rsidP="003E330D">
      <w:pPr>
        <w:pStyle w:val="PargrafodaLista"/>
        <w:ind w:left="993"/>
        <w:jc w:val="both"/>
        <w:rPr>
          <w:rFonts w:ascii="Arial" w:hAnsi="Arial" w:cs="Arial"/>
          <w:u w:val="single"/>
        </w:rPr>
      </w:pPr>
    </w:p>
    <w:p w14:paraId="1FEB389A" w14:textId="14B57CE4" w:rsidR="003E330D" w:rsidRPr="00F11DFB" w:rsidRDefault="00886EF5" w:rsidP="003E330D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Passo a passo</w:t>
      </w:r>
      <w:r w:rsidR="003E330D">
        <w:rPr>
          <w:rFonts w:ascii="Arial" w:hAnsi="Arial" w:cs="Arial"/>
          <w:u w:val="single"/>
        </w:rPr>
        <w:t>:</w:t>
      </w:r>
    </w:p>
    <w:p w14:paraId="6AED1811" w14:textId="77777777" w:rsidR="003E330D" w:rsidRDefault="003E330D" w:rsidP="003E330D">
      <w:pPr>
        <w:ind w:left="993" w:firstLine="11"/>
        <w:jc w:val="both"/>
        <w:rPr>
          <w:rFonts w:ascii="Arial" w:hAnsi="Arial" w:cs="Arial"/>
        </w:rPr>
      </w:pPr>
    </w:p>
    <w:p w14:paraId="23D980E3" w14:textId="77777777" w:rsidR="003E330D" w:rsidRDefault="003E330D" w:rsidP="003E330D">
      <w:pPr>
        <w:ind w:left="993" w:firstLine="11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993" w:type="dxa"/>
        <w:tblLook w:val="04A0" w:firstRow="1" w:lastRow="0" w:firstColumn="1" w:lastColumn="0" w:noHBand="0" w:noVBand="1"/>
      </w:tblPr>
      <w:tblGrid>
        <w:gridCol w:w="884"/>
        <w:gridCol w:w="7646"/>
      </w:tblGrid>
      <w:tr w:rsidR="003E330D" w14:paraId="5F7C1B2C" w14:textId="77777777" w:rsidTr="00886EF5">
        <w:trPr>
          <w:trHeight w:val="508"/>
        </w:trPr>
        <w:tc>
          <w:tcPr>
            <w:tcW w:w="0" w:type="auto"/>
            <w:vAlign w:val="center"/>
          </w:tcPr>
          <w:p w14:paraId="62FA2292" w14:textId="5746FE85" w:rsidR="003E330D" w:rsidRDefault="00886EF5" w:rsidP="00886E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Passo</w:t>
            </w:r>
          </w:p>
        </w:tc>
        <w:tc>
          <w:tcPr>
            <w:tcW w:w="0" w:type="auto"/>
            <w:vAlign w:val="center"/>
          </w:tcPr>
          <w:p w14:paraId="310D1F72" w14:textId="74877BEE" w:rsidR="003E330D" w:rsidRDefault="00886EF5" w:rsidP="003E33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3E330D" w14:paraId="3A9F806B" w14:textId="77777777" w:rsidTr="00886EF5">
        <w:tc>
          <w:tcPr>
            <w:tcW w:w="0" w:type="auto"/>
            <w:vAlign w:val="center"/>
          </w:tcPr>
          <w:p w14:paraId="372B611E" w14:textId="5F573BC7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1AB8DCD8" w14:textId="3543086A" w:rsidR="00886EF5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Reunir o material:</w:t>
            </w:r>
          </w:p>
          <w:p w14:paraId="40FD0F54" w14:textId="7F01DD73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• Clorexidina alcóolica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 0,5%;</w:t>
            </w:r>
          </w:p>
          <w:p w14:paraId="4741E095" w14:textId="77777777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• Pinça </w:t>
            </w:r>
            <w:proofErr w:type="spellStart"/>
            <w:r w:rsidRPr="00886EF5">
              <w:rPr>
                <w:rFonts w:ascii="Arial" w:hAnsi="Arial" w:cs="Arial"/>
                <w:sz w:val="20"/>
                <w:szCs w:val="20"/>
              </w:rPr>
              <w:t>cheron</w:t>
            </w:r>
            <w:proofErr w:type="spellEnd"/>
            <w:r w:rsidRPr="00886EF5">
              <w:rPr>
                <w:rFonts w:ascii="Arial" w:hAnsi="Arial" w:cs="Arial"/>
                <w:sz w:val="20"/>
                <w:szCs w:val="20"/>
              </w:rPr>
              <w:t xml:space="preserve"> ou similar;</w:t>
            </w:r>
          </w:p>
          <w:p w14:paraId="45519084" w14:textId="77777777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• Campo estéril;</w:t>
            </w:r>
          </w:p>
          <w:p w14:paraId="6521F05E" w14:textId="77777777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• Gaze;</w:t>
            </w:r>
          </w:p>
          <w:p w14:paraId="7B396856" w14:textId="7AE81C3E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• Material para anestesia local: seringa 3 ml, agulha 13x 4,5 mm, agulha 25x7 mm, frasco de lidocaína 1%;</w:t>
            </w:r>
          </w:p>
          <w:p w14:paraId="646498B6" w14:textId="080BE29C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• Agulha de punção liquórica 22G;</w:t>
            </w:r>
          </w:p>
          <w:p w14:paraId="6EBFCA96" w14:textId="6AF7ABC0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• Frasco</w:t>
            </w:r>
            <w:r w:rsidR="009A6408">
              <w:rPr>
                <w:rFonts w:ascii="Arial" w:hAnsi="Arial" w:cs="Arial"/>
                <w:sz w:val="20"/>
                <w:szCs w:val="20"/>
              </w:rPr>
              <w:t>s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408">
              <w:rPr>
                <w:rFonts w:ascii="Arial" w:hAnsi="Arial" w:cs="Arial"/>
                <w:sz w:val="20"/>
                <w:szCs w:val="20"/>
              </w:rPr>
              <w:t xml:space="preserve">/ tubos </w:t>
            </w:r>
            <w:r w:rsidRPr="00886EF5">
              <w:rPr>
                <w:rFonts w:ascii="Arial" w:hAnsi="Arial" w:cs="Arial"/>
                <w:sz w:val="20"/>
                <w:szCs w:val="20"/>
              </w:rPr>
              <w:t>esté</w:t>
            </w:r>
            <w:r w:rsidR="009A6408">
              <w:rPr>
                <w:rFonts w:ascii="Arial" w:hAnsi="Arial" w:cs="Arial"/>
                <w:sz w:val="20"/>
                <w:szCs w:val="20"/>
              </w:rPr>
              <w:t xml:space="preserve">reis </w:t>
            </w:r>
            <w:r w:rsidRPr="00886EF5">
              <w:rPr>
                <w:rFonts w:ascii="Arial" w:hAnsi="Arial" w:cs="Arial"/>
                <w:sz w:val="20"/>
                <w:szCs w:val="20"/>
              </w:rPr>
              <w:t>identificado</w:t>
            </w:r>
            <w:r w:rsidR="009A6408">
              <w:rPr>
                <w:rFonts w:ascii="Arial" w:hAnsi="Arial" w:cs="Arial"/>
                <w:sz w:val="20"/>
                <w:szCs w:val="20"/>
              </w:rPr>
              <w:t>s e numerados</w:t>
            </w:r>
            <w:r w:rsidRPr="00886EF5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2BCE8F5" w14:textId="3AF40A8B" w:rsid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• Luva estéril, gorro, máscara e óculos de proteção.</w:t>
            </w:r>
          </w:p>
          <w:p w14:paraId="3F455308" w14:textId="77777777" w:rsidR="00886EF5" w:rsidRPr="00886EF5" w:rsidRDefault="00886EF5" w:rsidP="00886EF5">
            <w:pPr>
              <w:spacing w:line="276" w:lineRule="auto"/>
              <w:ind w:left="272"/>
              <w:rPr>
                <w:rFonts w:ascii="Arial" w:hAnsi="Arial" w:cs="Arial"/>
                <w:sz w:val="20"/>
                <w:szCs w:val="20"/>
              </w:rPr>
            </w:pPr>
          </w:p>
          <w:p w14:paraId="16399896" w14:textId="765BE553" w:rsidR="00886EF5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&gt;&gt; Lavar as mãos</w:t>
            </w:r>
            <w:r>
              <w:rPr>
                <w:rFonts w:ascii="Arial" w:hAnsi="Arial" w:cs="Arial"/>
                <w:sz w:val="20"/>
                <w:szCs w:val="20"/>
              </w:rPr>
              <w:t xml:space="preserve"> &lt;&lt;</w:t>
            </w:r>
          </w:p>
        </w:tc>
      </w:tr>
      <w:tr w:rsidR="003E330D" w14:paraId="3A969105" w14:textId="77777777" w:rsidTr="00886EF5">
        <w:trPr>
          <w:trHeight w:val="316"/>
        </w:trPr>
        <w:tc>
          <w:tcPr>
            <w:tcW w:w="0" w:type="auto"/>
            <w:vAlign w:val="center"/>
          </w:tcPr>
          <w:p w14:paraId="140E5F1E" w14:textId="309D3DC0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663B800" w14:textId="2E3E5268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Orientar paciente </w:t>
            </w:r>
            <w:r>
              <w:rPr>
                <w:rFonts w:ascii="Arial" w:hAnsi="Arial" w:cs="Arial"/>
                <w:sz w:val="20"/>
                <w:szCs w:val="20"/>
              </w:rPr>
              <w:t xml:space="preserve">e responsável </w:t>
            </w:r>
            <w:r w:rsidRPr="00886EF5">
              <w:rPr>
                <w:rFonts w:ascii="Arial" w:hAnsi="Arial" w:cs="Arial"/>
                <w:sz w:val="20"/>
                <w:szCs w:val="20"/>
              </w:rPr>
              <w:t>sobre o procedimento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E330D" w14:paraId="39B273FD" w14:textId="77777777" w:rsidTr="00886EF5">
        <w:tc>
          <w:tcPr>
            <w:tcW w:w="0" w:type="auto"/>
            <w:vAlign w:val="center"/>
          </w:tcPr>
          <w:p w14:paraId="3D464F6C" w14:textId="1B56BD47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4D61BD92" w14:textId="538DECA3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Colocar paciente sentado com cabeça fletida ou em decúbito lateral horizontal com cabeça fletida e joelhos flexionados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783B5296" w14:textId="77777777" w:rsidTr="00886EF5">
        <w:trPr>
          <w:trHeight w:val="242"/>
        </w:trPr>
        <w:tc>
          <w:tcPr>
            <w:tcW w:w="0" w:type="auto"/>
            <w:vAlign w:val="center"/>
          </w:tcPr>
          <w:p w14:paraId="0E18849C" w14:textId="69A80E0E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DA40406" w14:textId="6AD23F90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Assegurar adequada paramentação para o procedimento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4DBDBA2B" w14:textId="77777777" w:rsidTr="00886EF5">
        <w:trPr>
          <w:trHeight w:val="242"/>
        </w:trPr>
        <w:tc>
          <w:tcPr>
            <w:tcW w:w="0" w:type="auto"/>
            <w:vAlign w:val="center"/>
          </w:tcPr>
          <w:p w14:paraId="16DC40BA" w14:textId="6F3010F1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AABD958" w14:textId="7E92E37B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Fazer antissepsia da região dorsal e colocar o campo estéril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3CCC1A7E" w14:textId="77777777" w:rsidTr="00886EF5">
        <w:trPr>
          <w:trHeight w:val="242"/>
        </w:trPr>
        <w:tc>
          <w:tcPr>
            <w:tcW w:w="0" w:type="auto"/>
            <w:vAlign w:val="center"/>
          </w:tcPr>
          <w:p w14:paraId="029BDC1E" w14:textId="2206CFEF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0580BDE" w14:textId="642DD64D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Palpar espinha ilíaca póstero-superior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E330D" w14:paraId="61BEEB5D" w14:textId="77777777" w:rsidTr="00886EF5">
        <w:trPr>
          <w:trHeight w:val="242"/>
        </w:trPr>
        <w:tc>
          <w:tcPr>
            <w:tcW w:w="0" w:type="auto"/>
            <w:vAlign w:val="center"/>
          </w:tcPr>
          <w:p w14:paraId="7D213241" w14:textId="7A63CA54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7D91E9AF" w14:textId="0316AFAD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Através do alinhamento c</w:t>
            </w:r>
            <w:r w:rsidRPr="00886EF5">
              <w:rPr>
                <w:rFonts w:ascii="Arial" w:hAnsi="Arial" w:cs="Arial"/>
                <w:sz w:val="20"/>
                <w:szCs w:val="20"/>
              </w:rPr>
              <w:t>om as espinhas il</w:t>
            </w:r>
            <w:r>
              <w:rPr>
                <w:rFonts w:ascii="Arial" w:hAnsi="Arial" w:cs="Arial"/>
                <w:sz w:val="20"/>
                <w:szCs w:val="20"/>
              </w:rPr>
              <w:t>íacas, palpar o espaço de L3-L4.</w:t>
            </w:r>
          </w:p>
        </w:tc>
      </w:tr>
      <w:tr w:rsidR="003E330D" w14:paraId="67531997" w14:textId="77777777" w:rsidTr="00886EF5">
        <w:trPr>
          <w:trHeight w:val="242"/>
        </w:trPr>
        <w:tc>
          <w:tcPr>
            <w:tcW w:w="0" w:type="auto"/>
            <w:vAlign w:val="center"/>
          </w:tcPr>
          <w:p w14:paraId="7458344F" w14:textId="6155F5CB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14:paraId="76DBBF9E" w14:textId="5CE56159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Fazer anestesia tópica com lidocaína 1% com agulha de insulina </w:t>
            </w:r>
            <w:r>
              <w:rPr>
                <w:rFonts w:ascii="Arial" w:hAnsi="Arial" w:cs="Arial"/>
                <w:sz w:val="20"/>
                <w:szCs w:val="20"/>
              </w:rPr>
              <w:t>(opcional).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E330D" w14:paraId="20BEE0FC" w14:textId="77777777" w:rsidTr="00886EF5">
        <w:trPr>
          <w:trHeight w:val="242"/>
        </w:trPr>
        <w:tc>
          <w:tcPr>
            <w:tcW w:w="0" w:type="auto"/>
            <w:vAlign w:val="center"/>
          </w:tcPr>
          <w:p w14:paraId="7A09A62B" w14:textId="39C3618F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14:paraId="5F38CA89" w14:textId="55DF33D7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Introduzir agulha com mandril 22</w:t>
            </w:r>
            <w:r w:rsidRPr="00886EF5">
              <w:rPr>
                <w:rFonts w:ascii="Arial" w:hAnsi="Arial" w:cs="Arial"/>
                <w:sz w:val="20"/>
                <w:szCs w:val="20"/>
              </w:rPr>
              <w:t>G a 90 graus com o bisel orientado lateralmente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1927BD22" w14:textId="77777777" w:rsidTr="00886EF5">
        <w:trPr>
          <w:trHeight w:val="242"/>
        </w:trPr>
        <w:tc>
          <w:tcPr>
            <w:tcW w:w="0" w:type="auto"/>
            <w:vAlign w:val="center"/>
          </w:tcPr>
          <w:p w14:paraId="55C9D6A6" w14:textId="06329F4A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14:paraId="3B3C7380" w14:textId="261A2FDA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Progredir introduzindo a agulha até encontrar resistência (ligamento amarelo)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45351F07" w14:textId="77777777" w:rsidTr="00886EF5">
        <w:trPr>
          <w:trHeight w:val="242"/>
        </w:trPr>
        <w:tc>
          <w:tcPr>
            <w:tcW w:w="0" w:type="auto"/>
            <w:vAlign w:val="center"/>
          </w:tcPr>
          <w:p w14:paraId="248F8DB5" w14:textId="5A1625FF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323C0FC1" w14:textId="244C7A74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Perfurar o ligamento, girar o bisel para a posição cefálica. </w:t>
            </w:r>
          </w:p>
        </w:tc>
      </w:tr>
      <w:tr w:rsidR="003E330D" w14:paraId="30AD9236" w14:textId="77777777" w:rsidTr="00886EF5">
        <w:trPr>
          <w:trHeight w:val="242"/>
        </w:trPr>
        <w:tc>
          <w:tcPr>
            <w:tcW w:w="0" w:type="auto"/>
            <w:vAlign w:val="center"/>
          </w:tcPr>
          <w:p w14:paraId="21F42710" w14:textId="425B0480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14:paraId="2E8B4A49" w14:textId="55AA8573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Retira mandril da agulha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590422A1" w14:textId="77777777" w:rsidTr="00886EF5">
        <w:trPr>
          <w:trHeight w:val="242"/>
        </w:trPr>
        <w:tc>
          <w:tcPr>
            <w:tcW w:w="0" w:type="auto"/>
            <w:vAlign w:val="center"/>
          </w:tcPr>
          <w:p w14:paraId="0DCEE43B" w14:textId="7C31DFFA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14:paraId="55167144" w14:textId="25956989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Aguardar gotejament</w:t>
            </w:r>
            <w:r>
              <w:rPr>
                <w:rFonts w:ascii="Arial" w:hAnsi="Arial" w:cs="Arial"/>
                <w:sz w:val="20"/>
                <w:szCs w:val="20"/>
              </w:rPr>
              <w:t>o.</w:t>
            </w:r>
          </w:p>
        </w:tc>
      </w:tr>
      <w:tr w:rsidR="003E330D" w14:paraId="1955A754" w14:textId="77777777" w:rsidTr="00886EF5">
        <w:trPr>
          <w:trHeight w:val="242"/>
        </w:trPr>
        <w:tc>
          <w:tcPr>
            <w:tcW w:w="0" w:type="auto"/>
            <w:vAlign w:val="center"/>
          </w:tcPr>
          <w:p w14:paraId="0EB16E08" w14:textId="2D00CAB9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14:paraId="47D6DFD4" w14:textId="0D033277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Coletar </w:t>
            </w:r>
            <w:r w:rsidR="009A6408">
              <w:rPr>
                <w:rFonts w:ascii="Arial" w:hAnsi="Arial" w:cs="Arial"/>
                <w:sz w:val="20"/>
                <w:szCs w:val="20"/>
              </w:rPr>
              <w:t>cerca de 1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0 gotas </w:t>
            </w:r>
            <w:r w:rsidR="009A6408">
              <w:rPr>
                <w:rFonts w:ascii="Arial" w:hAnsi="Arial" w:cs="Arial"/>
                <w:sz w:val="20"/>
                <w:szCs w:val="20"/>
              </w:rPr>
              <w:t>para cada</w:t>
            </w:r>
            <w:r w:rsidR="009A6408" w:rsidRPr="00886EF5">
              <w:rPr>
                <w:rFonts w:ascii="Arial" w:hAnsi="Arial" w:cs="Arial"/>
                <w:sz w:val="20"/>
                <w:szCs w:val="20"/>
              </w:rPr>
              <w:t xml:space="preserve"> frasco estéril</w:t>
            </w:r>
            <w:r w:rsidR="009A640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3E330D" w14:paraId="57905BAE" w14:textId="77777777" w:rsidTr="00886EF5">
        <w:trPr>
          <w:trHeight w:val="242"/>
        </w:trPr>
        <w:tc>
          <w:tcPr>
            <w:tcW w:w="0" w:type="auto"/>
            <w:vAlign w:val="center"/>
          </w:tcPr>
          <w:p w14:paraId="0600F6CB" w14:textId="1CA9DE34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</w:tcPr>
          <w:p w14:paraId="6E0882D7" w14:textId="31991B2D" w:rsidR="003E330D" w:rsidRPr="00886EF5" w:rsidRDefault="009A6408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Se, após a punção, não houver refluxo liquórico, reintroduzir o mandril, virar novamente o bisel para a posição lateral, recuar a agulha até o </w:t>
            </w:r>
            <w:r>
              <w:rPr>
                <w:rFonts w:ascii="Arial" w:hAnsi="Arial" w:cs="Arial"/>
                <w:sz w:val="20"/>
                <w:szCs w:val="20"/>
              </w:rPr>
              <w:t>tecido celular subcutâneo</w:t>
            </w:r>
            <w:r w:rsidRPr="00886EF5">
              <w:rPr>
                <w:rFonts w:ascii="Arial" w:hAnsi="Arial" w:cs="Arial"/>
                <w:sz w:val="20"/>
                <w:szCs w:val="20"/>
              </w:rPr>
              <w:t xml:space="preserve"> e reintroduzir a agulha até encontrar o local adequado.</w:t>
            </w:r>
          </w:p>
        </w:tc>
      </w:tr>
      <w:tr w:rsidR="003E330D" w14:paraId="5AA9FBCC" w14:textId="77777777" w:rsidTr="00886EF5">
        <w:tc>
          <w:tcPr>
            <w:tcW w:w="0" w:type="auto"/>
            <w:vAlign w:val="center"/>
          </w:tcPr>
          <w:p w14:paraId="5819F980" w14:textId="07D0E3F9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14:paraId="778594CA" w14:textId="6BE9CB2F" w:rsidR="003E330D" w:rsidRPr="00886EF5" w:rsidRDefault="009A6408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A6408">
              <w:rPr>
                <w:rFonts w:ascii="Arial" w:hAnsi="Arial" w:cs="Arial"/>
                <w:sz w:val="20"/>
                <w:szCs w:val="20"/>
              </w:rPr>
              <w:t xml:space="preserve">Se a saída do </w:t>
            </w:r>
            <w:r w:rsidR="00216257" w:rsidRPr="009A6408">
              <w:rPr>
                <w:rFonts w:ascii="Arial" w:hAnsi="Arial" w:cs="Arial"/>
                <w:sz w:val="20"/>
                <w:szCs w:val="20"/>
              </w:rPr>
              <w:t>líquor</w:t>
            </w:r>
            <w:r w:rsidRPr="009A6408">
              <w:rPr>
                <w:rFonts w:ascii="Arial" w:hAnsi="Arial" w:cs="Arial"/>
                <w:sz w:val="20"/>
                <w:szCs w:val="20"/>
              </w:rPr>
              <w:t xml:space="preserve"> for muito lenta, peça ao paciente para tossir ou fazer manobra de </w:t>
            </w:r>
            <w:proofErr w:type="spellStart"/>
            <w:r w:rsidRPr="009A6408">
              <w:rPr>
                <w:rFonts w:ascii="Arial" w:hAnsi="Arial" w:cs="Arial"/>
                <w:sz w:val="20"/>
                <w:szCs w:val="20"/>
              </w:rPr>
              <w:t>Valsalva</w:t>
            </w:r>
            <w:proofErr w:type="spellEnd"/>
            <w:r w:rsidRPr="009A6408">
              <w:rPr>
                <w:rFonts w:ascii="Arial" w:hAnsi="Arial" w:cs="Arial"/>
                <w:sz w:val="20"/>
                <w:szCs w:val="20"/>
              </w:rPr>
              <w:t>, ou pedir a um assistente para pressionar de forma intermitente o abdome do paciente a fim de aumentar o fluxo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710B601C" w14:textId="77777777" w:rsidTr="00886EF5">
        <w:tc>
          <w:tcPr>
            <w:tcW w:w="0" w:type="auto"/>
            <w:vAlign w:val="center"/>
          </w:tcPr>
          <w:p w14:paraId="462DA909" w14:textId="1EFFA4AA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14:paraId="60BA95A2" w14:textId="0324B081" w:rsidR="003E330D" w:rsidRPr="00886EF5" w:rsidRDefault="009A6408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Após a coleta reintroduzir o bisel, virar novamente o bisel para a posição lateral e retirar a </w:t>
            </w:r>
            <w:r w:rsidR="00216257">
              <w:rPr>
                <w:rFonts w:ascii="Arial" w:hAnsi="Arial" w:cs="Arial"/>
                <w:sz w:val="20"/>
                <w:szCs w:val="20"/>
              </w:rPr>
              <w:t>a</w:t>
            </w:r>
            <w:r w:rsidRPr="00886EF5">
              <w:rPr>
                <w:rFonts w:ascii="Arial" w:hAnsi="Arial" w:cs="Arial"/>
                <w:sz w:val="20"/>
                <w:szCs w:val="20"/>
              </w:rPr>
              <w:t>gulha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02A1FE62" w14:textId="77777777" w:rsidTr="00886EF5">
        <w:tc>
          <w:tcPr>
            <w:tcW w:w="0" w:type="auto"/>
            <w:vAlign w:val="center"/>
          </w:tcPr>
          <w:p w14:paraId="5C730077" w14:textId="13D510CC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14:paraId="42E5BD75" w14:textId="159ABFCC" w:rsidR="003E330D" w:rsidRPr="00886EF5" w:rsidRDefault="009A6408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Avaliar aspecto e pressão do líquor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3B2A183E" w14:textId="77777777" w:rsidTr="00886EF5">
        <w:trPr>
          <w:trHeight w:val="252"/>
        </w:trPr>
        <w:tc>
          <w:tcPr>
            <w:tcW w:w="0" w:type="auto"/>
            <w:vAlign w:val="center"/>
          </w:tcPr>
          <w:p w14:paraId="1BA8B704" w14:textId="3532ED2A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14:paraId="3281DDE3" w14:textId="5EF04E58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Desprezar a agulha em caixa de coleta de material contaminante</w:t>
            </w:r>
            <w:r w:rsidR="009A640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330D" w14:paraId="6313F75E" w14:textId="77777777" w:rsidTr="00886EF5">
        <w:trPr>
          <w:trHeight w:val="270"/>
        </w:trPr>
        <w:tc>
          <w:tcPr>
            <w:tcW w:w="0" w:type="auto"/>
            <w:vAlign w:val="center"/>
          </w:tcPr>
          <w:p w14:paraId="58F0E700" w14:textId="796C9745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14:paraId="2CDADB18" w14:textId="4E146688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Retirar a luvas e lavar as mãos. </w:t>
            </w:r>
          </w:p>
        </w:tc>
      </w:tr>
      <w:tr w:rsidR="003E330D" w14:paraId="231B5FD2" w14:textId="77777777" w:rsidTr="00886EF5">
        <w:tc>
          <w:tcPr>
            <w:tcW w:w="0" w:type="auto"/>
            <w:vAlign w:val="center"/>
          </w:tcPr>
          <w:p w14:paraId="1005AE36" w14:textId="10E67919" w:rsidR="003E330D" w:rsidRPr="00886EF5" w:rsidRDefault="00886EF5" w:rsidP="003E33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14:paraId="44F91805" w14:textId="55C15F76" w:rsidR="003E330D" w:rsidRPr="00886EF5" w:rsidRDefault="00886EF5" w:rsidP="00886EF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86EF5">
              <w:rPr>
                <w:rFonts w:ascii="Arial" w:hAnsi="Arial" w:cs="Arial"/>
                <w:sz w:val="20"/>
                <w:szCs w:val="20"/>
              </w:rPr>
              <w:t xml:space="preserve">Descrever o procedimento no prontuário do paciente lembrando-se de especificar as características do líquor puncionado. </w:t>
            </w:r>
          </w:p>
        </w:tc>
      </w:tr>
    </w:tbl>
    <w:p w14:paraId="1420CCD3" w14:textId="77777777" w:rsidR="00886EF5" w:rsidRDefault="00886EF5" w:rsidP="003E330D">
      <w:pPr>
        <w:ind w:left="993" w:firstLine="11"/>
        <w:jc w:val="both"/>
        <w:rPr>
          <w:rFonts w:ascii="Arial" w:hAnsi="Arial" w:cs="Arial"/>
        </w:rPr>
      </w:pPr>
    </w:p>
    <w:p w14:paraId="2777AFDE" w14:textId="3550EAA9" w:rsidR="009A6408" w:rsidRDefault="009A6408" w:rsidP="009A6408">
      <w:pPr>
        <w:ind w:firstLine="720"/>
        <w:jc w:val="both"/>
        <w:rPr>
          <w:rFonts w:ascii="Arial" w:hAnsi="Arial" w:cs="Arial"/>
        </w:rPr>
      </w:pPr>
    </w:p>
    <w:p w14:paraId="7C472CAF" w14:textId="518A26DD" w:rsidR="00F21E1E" w:rsidRDefault="00F21E1E" w:rsidP="009A6408">
      <w:pPr>
        <w:ind w:firstLine="720"/>
        <w:jc w:val="both"/>
        <w:rPr>
          <w:rFonts w:ascii="Arial" w:hAnsi="Arial" w:cs="Arial"/>
        </w:rPr>
      </w:pPr>
    </w:p>
    <w:p w14:paraId="3C01DEB4" w14:textId="2EC960E1" w:rsidR="00F21E1E" w:rsidRDefault="00F21E1E" w:rsidP="009A6408">
      <w:pPr>
        <w:ind w:firstLine="720"/>
        <w:jc w:val="both"/>
        <w:rPr>
          <w:rFonts w:ascii="Arial" w:hAnsi="Arial" w:cs="Arial"/>
        </w:rPr>
      </w:pPr>
    </w:p>
    <w:p w14:paraId="7E966822" w14:textId="6B25DCBB" w:rsidR="00F21E1E" w:rsidRDefault="00F21E1E" w:rsidP="009A6408">
      <w:pPr>
        <w:ind w:firstLine="720"/>
        <w:jc w:val="both"/>
        <w:rPr>
          <w:rFonts w:ascii="Arial" w:hAnsi="Arial" w:cs="Arial"/>
        </w:rPr>
      </w:pPr>
    </w:p>
    <w:p w14:paraId="2691DFDB" w14:textId="45459A04" w:rsidR="00F21E1E" w:rsidRDefault="00F21E1E" w:rsidP="009A6408">
      <w:pPr>
        <w:ind w:firstLine="720"/>
        <w:jc w:val="both"/>
        <w:rPr>
          <w:rFonts w:ascii="Arial" w:hAnsi="Arial" w:cs="Arial"/>
        </w:rPr>
      </w:pPr>
    </w:p>
    <w:p w14:paraId="1A3273E8" w14:textId="77777777" w:rsidR="00F21E1E" w:rsidRDefault="00F21E1E" w:rsidP="009A6408">
      <w:pPr>
        <w:ind w:firstLine="720"/>
        <w:jc w:val="both"/>
        <w:rPr>
          <w:rFonts w:ascii="Arial" w:hAnsi="Arial" w:cs="Arial"/>
        </w:rPr>
      </w:pPr>
    </w:p>
    <w:p w14:paraId="64D92249" w14:textId="2FD11751" w:rsidR="009A6408" w:rsidRPr="00F11DFB" w:rsidRDefault="009A6408" w:rsidP="009A6408">
      <w:pPr>
        <w:pStyle w:val="Pargrafoda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Análises laboratoriais:</w:t>
      </w:r>
    </w:p>
    <w:p w14:paraId="790529AD" w14:textId="77777777" w:rsidR="009A6408" w:rsidRPr="00F11DFB" w:rsidRDefault="009A6408" w:rsidP="009A6408">
      <w:pPr>
        <w:jc w:val="both"/>
        <w:rPr>
          <w:rFonts w:ascii="Arial" w:hAnsi="Arial" w:cs="Arial"/>
        </w:rPr>
      </w:pPr>
    </w:p>
    <w:p w14:paraId="57B47714" w14:textId="74FA88DC" w:rsidR="00E76EAE" w:rsidRDefault="009A6408" w:rsidP="009A6408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Os pri</w:t>
      </w:r>
      <w:r w:rsidR="00CE67F7">
        <w:rPr>
          <w:rFonts w:ascii="Arial" w:hAnsi="Arial" w:cs="Arial"/>
        </w:rPr>
        <w:t>ncipais exames solicitados no lí</w:t>
      </w:r>
      <w:r>
        <w:rPr>
          <w:rFonts w:ascii="Arial" w:hAnsi="Arial" w:cs="Arial"/>
        </w:rPr>
        <w:t xml:space="preserve">quor são contagem de células e diferencial, </w:t>
      </w:r>
      <w:r w:rsidRPr="009A6408">
        <w:rPr>
          <w:rFonts w:ascii="Arial" w:hAnsi="Arial" w:cs="Arial"/>
        </w:rPr>
        <w:t>níveis de glicose e proteínas, coloração d</w:t>
      </w:r>
      <w:r>
        <w:rPr>
          <w:rFonts w:ascii="Arial" w:hAnsi="Arial" w:cs="Arial"/>
        </w:rPr>
        <w:t>e Gram, cultura e sensibilidade. A celularidade e seu diferencial podem ser repetidas no 4º tubo.</w:t>
      </w:r>
    </w:p>
    <w:p w14:paraId="71D2793B" w14:textId="3281D2B5" w:rsidR="009A6408" w:rsidRDefault="009A6408" w:rsidP="009A6408">
      <w:pPr>
        <w:ind w:left="993"/>
        <w:jc w:val="both"/>
        <w:rPr>
          <w:rFonts w:ascii="Arial" w:hAnsi="Arial" w:cs="Arial"/>
        </w:rPr>
      </w:pPr>
    </w:p>
    <w:p w14:paraId="1BE0480D" w14:textId="77777777" w:rsidR="009A6408" w:rsidRDefault="009A6408" w:rsidP="009A6408">
      <w:pPr>
        <w:ind w:left="993"/>
        <w:jc w:val="both"/>
        <w:rPr>
          <w:rFonts w:ascii="Arial" w:hAnsi="Arial" w:cs="Arial"/>
        </w:rPr>
      </w:pPr>
      <w:r w:rsidRPr="009A6408">
        <w:rPr>
          <w:rFonts w:ascii="Arial" w:hAnsi="Arial" w:cs="Arial"/>
        </w:rPr>
        <w:t>O aumento do número</w:t>
      </w:r>
      <w:r>
        <w:rPr>
          <w:rFonts w:ascii="Arial" w:hAnsi="Arial" w:cs="Arial"/>
        </w:rPr>
        <w:t xml:space="preserve"> </w:t>
      </w:r>
      <w:r w:rsidRPr="009A6408">
        <w:rPr>
          <w:rFonts w:ascii="Arial" w:hAnsi="Arial" w:cs="Arial"/>
        </w:rPr>
        <w:t xml:space="preserve">leucócitos), sugere infecção. </w:t>
      </w:r>
      <w:r>
        <w:rPr>
          <w:rFonts w:ascii="Arial" w:hAnsi="Arial" w:cs="Arial"/>
        </w:rPr>
        <w:t>A</w:t>
      </w:r>
      <w:r w:rsidRPr="009A6408">
        <w:rPr>
          <w:rFonts w:ascii="Arial" w:hAnsi="Arial" w:cs="Arial"/>
        </w:rPr>
        <w:t xml:space="preserve">s infecções bacterianas estão associadas a um predomínio de leucócitos polimorfonucleares, mas a fase aguda da meningite viral e da encefalite pode ter uma apresentação semelhante. </w:t>
      </w:r>
      <w:r>
        <w:rPr>
          <w:rFonts w:ascii="Arial" w:hAnsi="Arial" w:cs="Arial"/>
        </w:rPr>
        <w:t>O</w:t>
      </w:r>
      <w:r w:rsidRPr="009A6408">
        <w:rPr>
          <w:rFonts w:ascii="Arial" w:hAnsi="Arial" w:cs="Arial"/>
        </w:rPr>
        <w:t xml:space="preserve"> predomínio de linfócitos sugere meningite viral ou tuberculosa. </w:t>
      </w:r>
    </w:p>
    <w:p w14:paraId="4D428114" w14:textId="77777777" w:rsidR="009A6408" w:rsidRDefault="009A6408" w:rsidP="009A6408">
      <w:pPr>
        <w:ind w:left="993"/>
        <w:jc w:val="both"/>
        <w:rPr>
          <w:rFonts w:ascii="Arial" w:hAnsi="Arial" w:cs="Arial"/>
        </w:rPr>
      </w:pPr>
    </w:p>
    <w:p w14:paraId="51AFAD1C" w14:textId="0E82799E" w:rsidR="009A6408" w:rsidRDefault="009A6408" w:rsidP="009A6408">
      <w:pPr>
        <w:ind w:left="993"/>
        <w:jc w:val="both"/>
        <w:rPr>
          <w:rFonts w:ascii="Arial" w:hAnsi="Arial" w:cs="Arial"/>
        </w:rPr>
      </w:pPr>
      <w:r w:rsidRPr="009A6408">
        <w:rPr>
          <w:rFonts w:ascii="Arial" w:hAnsi="Arial" w:cs="Arial"/>
        </w:rPr>
        <w:t xml:space="preserve">Outras causas de aumento da </w:t>
      </w:r>
      <w:proofErr w:type="spellStart"/>
      <w:r w:rsidRPr="009A6408">
        <w:rPr>
          <w:rFonts w:ascii="Arial" w:hAnsi="Arial" w:cs="Arial"/>
        </w:rPr>
        <w:t>leucometria</w:t>
      </w:r>
      <w:proofErr w:type="spellEnd"/>
      <w:r>
        <w:rPr>
          <w:rFonts w:ascii="Arial" w:hAnsi="Arial" w:cs="Arial"/>
        </w:rPr>
        <w:t>:</w:t>
      </w:r>
      <w:r w:rsidRPr="009A6408">
        <w:rPr>
          <w:rFonts w:ascii="Arial" w:hAnsi="Arial" w:cs="Arial"/>
        </w:rPr>
        <w:t xml:space="preserve"> vasculite, infiltração leucêmica e acidente de punção. </w:t>
      </w:r>
    </w:p>
    <w:p w14:paraId="0383DE5E" w14:textId="74F66069" w:rsidR="009A6408" w:rsidRDefault="009A6408" w:rsidP="009A6408">
      <w:pPr>
        <w:ind w:left="993"/>
        <w:jc w:val="both"/>
        <w:rPr>
          <w:rFonts w:ascii="Arial" w:hAnsi="Arial" w:cs="Arial"/>
        </w:rPr>
      </w:pPr>
    </w:p>
    <w:p w14:paraId="11718E1B" w14:textId="79D59295" w:rsidR="009A6408" w:rsidRDefault="009A6408" w:rsidP="009A6408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Pr="009A6408">
        <w:rPr>
          <w:rFonts w:ascii="Arial" w:hAnsi="Arial" w:cs="Arial"/>
        </w:rPr>
        <w:t xml:space="preserve">nível de glicose no </w:t>
      </w:r>
      <w:r>
        <w:rPr>
          <w:rFonts w:ascii="Arial" w:hAnsi="Arial" w:cs="Arial"/>
        </w:rPr>
        <w:t>líquor</w:t>
      </w:r>
      <w:r w:rsidRPr="009A6408">
        <w:rPr>
          <w:rFonts w:ascii="Arial" w:hAnsi="Arial" w:cs="Arial"/>
        </w:rPr>
        <w:t xml:space="preserve"> ​​</w:t>
      </w:r>
      <w:r w:rsidR="00D8144E">
        <w:rPr>
          <w:rFonts w:ascii="Arial" w:hAnsi="Arial" w:cs="Arial"/>
        </w:rPr>
        <w:t>corresponde</w:t>
      </w:r>
      <w:r>
        <w:rPr>
          <w:rFonts w:ascii="Arial" w:hAnsi="Arial" w:cs="Arial"/>
        </w:rPr>
        <w:t xml:space="preserve"> aproximadamente </w:t>
      </w:r>
      <w:r w:rsidRPr="009A6408">
        <w:rPr>
          <w:rFonts w:ascii="Arial" w:hAnsi="Arial" w:cs="Arial"/>
        </w:rPr>
        <w:t xml:space="preserve">60% do nível de glicose no sangue periférico. Recomenda-se a dosagem </w:t>
      </w:r>
      <w:r>
        <w:rPr>
          <w:rFonts w:ascii="Arial" w:hAnsi="Arial" w:cs="Arial"/>
        </w:rPr>
        <w:t>da glicemia capilar.</w:t>
      </w:r>
      <w:r w:rsidR="00CE67F7">
        <w:rPr>
          <w:rFonts w:ascii="Arial" w:hAnsi="Arial" w:cs="Arial"/>
        </w:rPr>
        <w:t xml:space="preserve"> Baixos níveis de glicose no lí</w:t>
      </w:r>
      <w:r w:rsidRPr="009A6408">
        <w:rPr>
          <w:rFonts w:ascii="Arial" w:hAnsi="Arial" w:cs="Arial"/>
        </w:rPr>
        <w:t>quor ​​</w:t>
      </w:r>
      <w:r>
        <w:rPr>
          <w:rFonts w:ascii="Arial" w:hAnsi="Arial" w:cs="Arial"/>
        </w:rPr>
        <w:t>estão</w:t>
      </w:r>
      <w:r w:rsidRPr="009A6408">
        <w:rPr>
          <w:rFonts w:ascii="Arial" w:hAnsi="Arial" w:cs="Arial"/>
        </w:rPr>
        <w:t xml:space="preserve"> associados a infecção bacteriana. </w:t>
      </w:r>
    </w:p>
    <w:p w14:paraId="65F5F528" w14:textId="77777777" w:rsidR="009A6408" w:rsidRDefault="009A6408" w:rsidP="009A6408">
      <w:pPr>
        <w:ind w:left="993"/>
        <w:jc w:val="both"/>
        <w:rPr>
          <w:rFonts w:ascii="Arial" w:hAnsi="Arial" w:cs="Arial"/>
        </w:rPr>
      </w:pPr>
    </w:p>
    <w:p w14:paraId="2ADD990D" w14:textId="31940407" w:rsidR="009A6408" w:rsidRDefault="00CE67F7" w:rsidP="009A6408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A presença de hemácias no lí</w:t>
      </w:r>
      <w:r w:rsidR="009A6408" w:rsidRPr="009A6408">
        <w:rPr>
          <w:rFonts w:ascii="Arial" w:hAnsi="Arial" w:cs="Arial"/>
        </w:rPr>
        <w:t>quor geralmente ocorre por acidente de punção. Solicitar a celularidade nos</w:t>
      </w:r>
      <w:r w:rsidR="009A6408">
        <w:rPr>
          <w:rFonts w:ascii="Arial" w:hAnsi="Arial" w:cs="Arial"/>
        </w:rPr>
        <w:t xml:space="preserve"> tubos</w:t>
      </w:r>
      <w:r w:rsidR="009A6408" w:rsidRPr="009A6408">
        <w:rPr>
          <w:rFonts w:ascii="Arial" w:hAnsi="Arial" w:cs="Arial"/>
        </w:rPr>
        <w:t xml:space="preserve"> nº 1 e nº 4 permite comparar a contagem de hemácias </w:t>
      </w:r>
      <w:r w:rsidR="009A6408">
        <w:rPr>
          <w:rFonts w:ascii="Arial" w:hAnsi="Arial" w:cs="Arial"/>
        </w:rPr>
        <w:t xml:space="preserve">e diferenciar os </w:t>
      </w:r>
      <w:r w:rsidR="009A6408" w:rsidRPr="009A6408">
        <w:rPr>
          <w:rFonts w:ascii="Arial" w:hAnsi="Arial" w:cs="Arial"/>
        </w:rPr>
        <w:t xml:space="preserve">casos de </w:t>
      </w:r>
      <w:r w:rsidR="009A6408">
        <w:rPr>
          <w:rFonts w:ascii="Arial" w:hAnsi="Arial" w:cs="Arial"/>
        </w:rPr>
        <w:t>acidentes do</w:t>
      </w:r>
      <w:r w:rsidR="00D8144E">
        <w:rPr>
          <w:rFonts w:ascii="Arial" w:hAnsi="Arial" w:cs="Arial"/>
        </w:rPr>
        <w:t>s</w:t>
      </w:r>
      <w:r w:rsidR="009A6408">
        <w:rPr>
          <w:rFonts w:ascii="Arial" w:hAnsi="Arial" w:cs="Arial"/>
        </w:rPr>
        <w:t xml:space="preserve"> casos de </w:t>
      </w:r>
      <w:r w:rsidR="009A6408" w:rsidRPr="009A6408">
        <w:rPr>
          <w:rFonts w:ascii="Arial" w:hAnsi="Arial" w:cs="Arial"/>
        </w:rPr>
        <w:t xml:space="preserve">hemorragia </w:t>
      </w:r>
      <w:proofErr w:type="spellStart"/>
      <w:r w:rsidR="009A6408" w:rsidRPr="009A6408">
        <w:rPr>
          <w:rFonts w:ascii="Arial" w:hAnsi="Arial" w:cs="Arial"/>
        </w:rPr>
        <w:t>subaracnoidea</w:t>
      </w:r>
      <w:proofErr w:type="spellEnd"/>
      <w:r w:rsidR="009A6408" w:rsidRPr="009A6408">
        <w:rPr>
          <w:rFonts w:ascii="Arial" w:hAnsi="Arial" w:cs="Arial"/>
        </w:rPr>
        <w:t xml:space="preserve">, </w:t>
      </w:r>
      <w:r w:rsidR="009A6408">
        <w:rPr>
          <w:rFonts w:ascii="Arial" w:hAnsi="Arial" w:cs="Arial"/>
        </w:rPr>
        <w:t>quando</w:t>
      </w:r>
      <w:r w:rsidR="009A6408" w:rsidRPr="009A6408">
        <w:rPr>
          <w:rFonts w:ascii="Arial" w:hAnsi="Arial" w:cs="Arial"/>
        </w:rPr>
        <w:t xml:space="preserve"> a contagem de </w:t>
      </w:r>
      <w:r w:rsidR="009A6408">
        <w:rPr>
          <w:rFonts w:ascii="Arial" w:hAnsi="Arial" w:cs="Arial"/>
        </w:rPr>
        <w:t xml:space="preserve">hemácias </w:t>
      </w:r>
      <w:r w:rsidR="009A6408" w:rsidRPr="009A6408">
        <w:rPr>
          <w:rFonts w:ascii="Arial" w:hAnsi="Arial" w:cs="Arial"/>
        </w:rPr>
        <w:t>permanece estável em todos os tub</w:t>
      </w:r>
      <w:r w:rsidR="009A6408">
        <w:rPr>
          <w:rFonts w:ascii="Arial" w:hAnsi="Arial" w:cs="Arial"/>
        </w:rPr>
        <w:t xml:space="preserve">os. A ausência ou </w:t>
      </w:r>
      <w:r w:rsidR="009A6408" w:rsidRPr="009A6408">
        <w:rPr>
          <w:rFonts w:ascii="Arial" w:hAnsi="Arial" w:cs="Arial"/>
        </w:rPr>
        <w:t xml:space="preserve">queda da proporção de hemácias entre o primeiro e o último tubo </w:t>
      </w:r>
      <w:r w:rsidR="009A6408">
        <w:rPr>
          <w:rFonts w:ascii="Arial" w:hAnsi="Arial" w:cs="Arial"/>
        </w:rPr>
        <w:t>s</w:t>
      </w:r>
      <w:r w:rsidR="00D8144E">
        <w:rPr>
          <w:rFonts w:ascii="Arial" w:hAnsi="Arial" w:cs="Arial"/>
        </w:rPr>
        <w:t>ugerem acidente de punção.</w:t>
      </w:r>
    </w:p>
    <w:p w14:paraId="31A440FC" w14:textId="055DC39D" w:rsidR="00D8144E" w:rsidRDefault="00D8144E" w:rsidP="009A6408">
      <w:pPr>
        <w:ind w:left="993"/>
        <w:jc w:val="both"/>
        <w:rPr>
          <w:rFonts w:ascii="Arial" w:hAnsi="Arial" w:cs="Arial"/>
        </w:rPr>
      </w:pPr>
    </w:p>
    <w:p w14:paraId="46382C37" w14:textId="77777777" w:rsidR="00D8144E" w:rsidRDefault="00D8144E" w:rsidP="00D8144E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 N</w:t>
      </w:r>
      <w:r w:rsidRPr="009A6408">
        <w:rPr>
          <w:rFonts w:ascii="Arial" w:hAnsi="Arial" w:cs="Arial"/>
        </w:rPr>
        <w:t>o acidente de punção</w:t>
      </w:r>
      <w:r>
        <w:rPr>
          <w:rFonts w:ascii="Arial" w:hAnsi="Arial" w:cs="Arial"/>
        </w:rPr>
        <w:t>, observa-se</w:t>
      </w:r>
      <w:r w:rsidRPr="009A6408">
        <w:rPr>
          <w:rFonts w:ascii="Arial" w:hAnsi="Arial" w:cs="Arial"/>
        </w:rPr>
        <w:t xml:space="preserve"> aproximadamente 1 leucócito a cada 1.000 hemácias</w:t>
      </w:r>
      <w:r>
        <w:rPr>
          <w:rFonts w:ascii="Arial" w:hAnsi="Arial" w:cs="Arial"/>
        </w:rPr>
        <w:t>.</w:t>
      </w:r>
    </w:p>
    <w:p w14:paraId="79261D1F" w14:textId="7DB731FB" w:rsidR="00D8144E" w:rsidRDefault="00D8144E" w:rsidP="009A6408">
      <w:pPr>
        <w:ind w:left="993"/>
        <w:jc w:val="both"/>
        <w:rPr>
          <w:rFonts w:ascii="Arial" w:hAnsi="Arial" w:cs="Arial"/>
        </w:rPr>
      </w:pPr>
    </w:p>
    <w:p w14:paraId="67E49491" w14:textId="21B1318E" w:rsidR="00D8144E" w:rsidRDefault="00D8144E" w:rsidP="009A6408">
      <w:pPr>
        <w:ind w:left="993"/>
        <w:jc w:val="both"/>
        <w:rPr>
          <w:rFonts w:ascii="Arial" w:hAnsi="Arial" w:cs="Arial"/>
        </w:rPr>
      </w:pPr>
      <w:r w:rsidRPr="00D8144E">
        <w:rPr>
          <w:rFonts w:ascii="Arial" w:hAnsi="Arial" w:cs="Arial"/>
        </w:rPr>
        <w:t>A avaliação do nível de proteín</w:t>
      </w:r>
      <w:r w:rsidR="00CE67F7">
        <w:rPr>
          <w:rFonts w:ascii="Arial" w:hAnsi="Arial" w:cs="Arial"/>
        </w:rPr>
        <w:t>a no lí</w:t>
      </w:r>
      <w:r w:rsidRPr="00D8144E">
        <w:rPr>
          <w:rFonts w:ascii="Arial" w:hAnsi="Arial" w:cs="Arial"/>
        </w:rPr>
        <w:t>quor, embora não esp</w:t>
      </w:r>
      <w:r>
        <w:rPr>
          <w:rFonts w:ascii="Arial" w:hAnsi="Arial" w:cs="Arial"/>
        </w:rPr>
        <w:t>ecífica, pode fornecer pistas sobre</w:t>
      </w:r>
      <w:r w:rsidRPr="00D8144E">
        <w:rPr>
          <w:rFonts w:ascii="Arial" w:hAnsi="Arial" w:cs="Arial"/>
        </w:rPr>
        <w:t xml:space="preserve"> doença</w:t>
      </w:r>
      <w:r>
        <w:rPr>
          <w:rFonts w:ascii="Arial" w:hAnsi="Arial" w:cs="Arial"/>
        </w:rPr>
        <w:t>s</w:t>
      </w:r>
      <w:r w:rsidRPr="00D8144E">
        <w:rPr>
          <w:rFonts w:ascii="Arial" w:hAnsi="Arial" w:cs="Arial"/>
        </w:rPr>
        <w:t xml:space="preserve"> neurológica</w:t>
      </w:r>
      <w:r>
        <w:rPr>
          <w:rFonts w:ascii="Arial" w:hAnsi="Arial" w:cs="Arial"/>
        </w:rPr>
        <w:t xml:space="preserve">s, como esclerose múltipla e </w:t>
      </w:r>
      <w:r w:rsidRPr="00D8144E">
        <w:rPr>
          <w:rFonts w:ascii="Arial" w:hAnsi="Arial" w:cs="Arial"/>
        </w:rPr>
        <w:t>Síndrome de Guillain-Barré</w:t>
      </w:r>
      <w:r>
        <w:rPr>
          <w:rFonts w:ascii="Arial" w:hAnsi="Arial" w:cs="Arial"/>
        </w:rPr>
        <w:t xml:space="preserve">. </w:t>
      </w:r>
      <w:r w:rsidRPr="00D8144E">
        <w:rPr>
          <w:rFonts w:ascii="Arial" w:hAnsi="Arial" w:cs="Arial"/>
        </w:rPr>
        <w:t>O acidente de punção também pode introduzir proteína no liquido cefalorraquidiano. Pode-se usar a aproximação de 1 mg de proteína para cada 750 hemácias</w:t>
      </w:r>
      <w:r>
        <w:rPr>
          <w:rFonts w:ascii="Arial" w:hAnsi="Arial" w:cs="Arial"/>
        </w:rPr>
        <w:t xml:space="preserve"> encontradas</w:t>
      </w:r>
      <w:r w:rsidRPr="00D8144E">
        <w:rPr>
          <w:rFonts w:ascii="Arial" w:hAnsi="Arial" w:cs="Arial"/>
        </w:rPr>
        <w:t>, mas</w:t>
      </w:r>
      <w:r>
        <w:rPr>
          <w:rFonts w:ascii="Arial" w:hAnsi="Arial" w:cs="Arial"/>
        </w:rPr>
        <w:t xml:space="preserve"> sugere-se repetir a punção. </w:t>
      </w:r>
    </w:p>
    <w:p w14:paraId="5CB73FD5" w14:textId="77777777" w:rsidR="00D8144E" w:rsidRDefault="00D8144E" w:rsidP="009A6408">
      <w:pPr>
        <w:ind w:left="993"/>
        <w:jc w:val="both"/>
        <w:rPr>
          <w:rFonts w:ascii="Arial" w:hAnsi="Arial" w:cs="Arial"/>
        </w:rPr>
      </w:pPr>
    </w:p>
    <w:p w14:paraId="78055D58" w14:textId="4724755D" w:rsidR="00D8144E" w:rsidRDefault="00D8144E" w:rsidP="009A6408">
      <w:pPr>
        <w:ind w:left="993"/>
        <w:jc w:val="both"/>
        <w:rPr>
          <w:rFonts w:ascii="Arial" w:hAnsi="Arial" w:cs="Arial"/>
        </w:rPr>
      </w:pPr>
      <w:r w:rsidRPr="00D8144E">
        <w:rPr>
          <w:rFonts w:ascii="Arial" w:hAnsi="Arial" w:cs="Arial"/>
        </w:rPr>
        <w:t>A coloração de Gram deve estar livre de microrganismos.</w:t>
      </w:r>
    </w:p>
    <w:p w14:paraId="0F0A12D4" w14:textId="24878A18" w:rsidR="003E330D" w:rsidRDefault="003E330D" w:rsidP="00C54A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21B187F" w14:textId="3BC76605" w:rsidR="003E330D" w:rsidRPr="00F11DFB" w:rsidRDefault="00D8144E" w:rsidP="00C54A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</w:p>
    <w:p w14:paraId="2B0F5B1B" w14:textId="77777777" w:rsidR="00980A41" w:rsidRPr="00F11DFB" w:rsidRDefault="00980A41" w:rsidP="00F21E1E">
      <w:pPr>
        <w:pStyle w:val="PargrafodaLista"/>
        <w:ind w:left="993"/>
        <w:jc w:val="both"/>
        <w:rPr>
          <w:rFonts w:ascii="Arial" w:hAnsi="Arial" w:cs="Arial"/>
        </w:rPr>
      </w:pPr>
      <w:r w:rsidRPr="00F21E1E">
        <w:rPr>
          <w:rFonts w:ascii="Arial" w:hAnsi="Arial" w:cs="Arial"/>
          <w:u w:val="single"/>
        </w:rPr>
        <w:t>Critérios de alta</w:t>
      </w:r>
      <w:r w:rsidRPr="00F11DFB">
        <w:rPr>
          <w:rFonts w:ascii="Arial" w:hAnsi="Arial" w:cs="Arial"/>
        </w:rPr>
        <w:t>:</w:t>
      </w:r>
      <w:r w:rsidRPr="00F11DFB">
        <w:t xml:space="preserve"> </w:t>
      </w:r>
    </w:p>
    <w:p w14:paraId="0726EF2F" w14:textId="77777777" w:rsidR="00980A41" w:rsidRPr="00F11DFB" w:rsidRDefault="00980A41" w:rsidP="00C54AD5">
      <w:pPr>
        <w:pStyle w:val="PargrafodaLista"/>
        <w:ind w:left="993"/>
        <w:jc w:val="both"/>
        <w:rPr>
          <w:rFonts w:ascii="Arial" w:hAnsi="Arial" w:cs="Arial"/>
        </w:rPr>
      </w:pPr>
    </w:p>
    <w:p w14:paraId="7BB27F6A" w14:textId="33AD56DD" w:rsidR="00BD0F37" w:rsidRDefault="00980A41" w:rsidP="00C54AD5">
      <w:pPr>
        <w:pStyle w:val="PargrafodaLista"/>
        <w:ind w:left="993"/>
        <w:jc w:val="both"/>
        <w:rPr>
          <w:rFonts w:ascii="Arial" w:hAnsi="Arial" w:cs="Arial"/>
        </w:rPr>
      </w:pPr>
      <w:r w:rsidRPr="00F11DFB">
        <w:rPr>
          <w:rFonts w:ascii="Arial" w:hAnsi="Arial" w:cs="Arial"/>
        </w:rPr>
        <w:t xml:space="preserve">- </w:t>
      </w:r>
      <w:r w:rsidR="00D8144E">
        <w:rPr>
          <w:rFonts w:ascii="Arial" w:hAnsi="Arial" w:cs="Arial"/>
        </w:rPr>
        <w:t>A depende do resultado do exame e da suspeita clínica que motivou o exame.</w:t>
      </w:r>
    </w:p>
    <w:p w14:paraId="6BA8043C" w14:textId="369A742E" w:rsidR="00F94BD3" w:rsidRPr="00D8144E" w:rsidRDefault="00F94BD3" w:rsidP="00D8144E">
      <w:pPr>
        <w:jc w:val="both"/>
        <w:rPr>
          <w:rFonts w:ascii="Arial" w:hAnsi="Arial" w:cs="Arial"/>
        </w:rPr>
      </w:pPr>
    </w:p>
    <w:p w14:paraId="66E20412" w14:textId="6AB52053" w:rsidR="00980A41" w:rsidRDefault="00980A41" w:rsidP="00C54AD5">
      <w:pPr>
        <w:jc w:val="both"/>
        <w:rPr>
          <w:rFonts w:ascii="Arial" w:hAnsi="Arial" w:cs="Arial"/>
        </w:rPr>
      </w:pPr>
    </w:p>
    <w:p w14:paraId="41A612E7" w14:textId="1B300056" w:rsidR="00F21E1E" w:rsidRDefault="00F21E1E" w:rsidP="00C54AD5">
      <w:pPr>
        <w:jc w:val="both"/>
        <w:rPr>
          <w:rFonts w:ascii="Arial" w:hAnsi="Arial" w:cs="Arial"/>
        </w:rPr>
      </w:pPr>
    </w:p>
    <w:p w14:paraId="1B89A39C" w14:textId="0A564C46" w:rsidR="00F21E1E" w:rsidRDefault="00F21E1E" w:rsidP="00C54AD5">
      <w:pPr>
        <w:jc w:val="both"/>
        <w:rPr>
          <w:rFonts w:ascii="Arial" w:hAnsi="Arial" w:cs="Arial"/>
        </w:rPr>
      </w:pPr>
    </w:p>
    <w:p w14:paraId="2BB8E08A" w14:textId="6E8AD011" w:rsidR="00F21E1E" w:rsidRDefault="00F21E1E" w:rsidP="00C54AD5">
      <w:pPr>
        <w:jc w:val="both"/>
        <w:rPr>
          <w:rFonts w:ascii="Arial" w:hAnsi="Arial" w:cs="Arial"/>
        </w:rPr>
      </w:pPr>
    </w:p>
    <w:p w14:paraId="5E5D1662" w14:textId="34309155" w:rsidR="00F21E1E" w:rsidRDefault="00F21E1E" w:rsidP="00C54AD5">
      <w:pPr>
        <w:jc w:val="both"/>
        <w:rPr>
          <w:rFonts w:ascii="Arial" w:hAnsi="Arial" w:cs="Arial"/>
        </w:rPr>
      </w:pPr>
    </w:p>
    <w:p w14:paraId="46443AA7" w14:textId="428AEB2A" w:rsidR="00F21E1E" w:rsidRDefault="00F21E1E" w:rsidP="00C54AD5">
      <w:pPr>
        <w:jc w:val="both"/>
        <w:rPr>
          <w:rFonts w:ascii="Arial" w:hAnsi="Arial" w:cs="Arial"/>
        </w:rPr>
      </w:pPr>
    </w:p>
    <w:p w14:paraId="666C8392" w14:textId="6C0065A8" w:rsidR="00F21E1E" w:rsidRDefault="00F21E1E" w:rsidP="00C54AD5">
      <w:pPr>
        <w:jc w:val="both"/>
        <w:rPr>
          <w:rFonts w:ascii="Arial" w:hAnsi="Arial" w:cs="Arial"/>
        </w:rPr>
      </w:pPr>
    </w:p>
    <w:p w14:paraId="6648D444" w14:textId="130426D2" w:rsidR="00F21E1E" w:rsidRDefault="00F21E1E" w:rsidP="00C54AD5">
      <w:pPr>
        <w:jc w:val="both"/>
        <w:rPr>
          <w:rFonts w:ascii="Arial" w:hAnsi="Arial" w:cs="Arial"/>
        </w:rPr>
      </w:pPr>
    </w:p>
    <w:p w14:paraId="21521245" w14:textId="25C6CC09" w:rsidR="00F21E1E" w:rsidRPr="00B36258" w:rsidRDefault="00CE67F7" w:rsidP="00CE67F7">
      <w:p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A26F041" w14:textId="77777777" w:rsidR="00D8144E" w:rsidRDefault="00086D85" w:rsidP="00F21E1E">
      <w:pPr>
        <w:pStyle w:val="PargrafodaLista"/>
        <w:spacing w:after="120"/>
        <w:ind w:left="993"/>
        <w:jc w:val="both"/>
        <w:rPr>
          <w:rFonts w:ascii="Arial" w:hAnsi="Arial" w:cs="Arial"/>
        </w:rPr>
      </w:pPr>
      <w:r w:rsidRPr="00F21E1E">
        <w:rPr>
          <w:rFonts w:ascii="Arial" w:hAnsi="Arial" w:cs="Arial"/>
          <w:u w:val="single"/>
        </w:rPr>
        <w:t>Referências</w:t>
      </w:r>
      <w:r w:rsidR="005B40BA" w:rsidRPr="00D8144E">
        <w:rPr>
          <w:rFonts w:ascii="Arial" w:hAnsi="Arial" w:cs="Arial"/>
        </w:rPr>
        <w:t>:</w:t>
      </w:r>
      <w:r w:rsidR="00D8144E" w:rsidRPr="00D8144E">
        <w:rPr>
          <w:rFonts w:ascii="Arial" w:hAnsi="Arial" w:cs="Arial"/>
        </w:rPr>
        <w:t xml:space="preserve"> </w:t>
      </w:r>
    </w:p>
    <w:p w14:paraId="57C3F92D" w14:textId="77777777" w:rsidR="00D8144E" w:rsidRDefault="00D8144E" w:rsidP="00D8144E">
      <w:pPr>
        <w:pStyle w:val="PargrafodaLista"/>
        <w:spacing w:after="120"/>
        <w:ind w:left="993"/>
        <w:jc w:val="both"/>
        <w:rPr>
          <w:rFonts w:ascii="Arial" w:hAnsi="Arial" w:cs="Arial"/>
        </w:rPr>
      </w:pPr>
    </w:p>
    <w:p w14:paraId="489F36EC" w14:textId="77777777" w:rsidR="00F21E1E" w:rsidRDefault="00D8144E" w:rsidP="00BF41B4">
      <w:pPr>
        <w:pStyle w:val="PargrafodaLista"/>
        <w:numPr>
          <w:ilvl w:val="0"/>
          <w:numId w:val="13"/>
        </w:numPr>
        <w:spacing w:before="120"/>
        <w:contextualSpacing w:val="0"/>
        <w:jc w:val="both"/>
        <w:rPr>
          <w:rFonts w:ascii="Arial" w:hAnsi="Arial" w:cs="Arial"/>
          <w:lang w:val="en-US"/>
        </w:rPr>
      </w:pPr>
      <w:r w:rsidRPr="00F21E1E">
        <w:rPr>
          <w:rFonts w:ascii="Arial" w:hAnsi="Arial" w:cs="Arial"/>
          <w:lang w:val="en-US"/>
        </w:rPr>
        <w:t xml:space="preserve">Perry J, et al. Sensitivity of computed tomography performed within six hours of onset of headache for diagnosis of subarachnoid </w:t>
      </w:r>
      <w:proofErr w:type="spellStart"/>
      <w:r w:rsidRPr="00F21E1E">
        <w:rPr>
          <w:rFonts w:ascii="Arial" w:hAnsi="Arial" w:cs="Arial"/>
          <w:lang w:val="en-US"/>
        </w:rPr>
        <w:t>haemorrhage</w:t>
      </w:r>
      <w:proofErr w:type="spellEnd"/>
      <w:r w:rsidRPr="00F21E1E">
        <w:rPr>
          <w:rFonts w:ascii="Arial" w:hAnsi="Arial" w:cs="Arial"/>
          <w:lang w:val="en-US"/>
        </w:rPr>
        <w:t>: prospective cohort study. BMJ. 2011;</w:t>
      </w:r>
      <w:proofErr w:type="gramStart"/>
      <w:r w:rsidRPr="00F21E1E">
        <w:rPr>
          <w:rFonts w:ascii="Arial" w:hAnsi="Arial" w:cs="Arial"/>
          <w:lang w:val="en-US"/>
        </w:rPr>
        <w:t>343:d</w:t>
      </w:r>
      <w:proofErr w:type="gramEnd"/>
      <w:r w:rsidRPr="00F21E1E">
        <w:rPr>
          <w:rFonts w:ascii="Arial" w:hAnsi="Arial" w:cs="Arial"/>
          <w:lang w:val="en-US"/>
        </w:rPr>
        <w:t>4277.</w:t>
      </w:r>
    </w:p>
    <w:p w14:paraId="01A19C66" w14:textId="03A0BDD5" w:rsidR="00D8144E" w:rsidRPr="00F21E1E" w:rsidRDefault="00D8144E" w:rsidP="00BF41B4">
      <w:pPr>
        <w:pStyle w:val="PargrafodaLista"/>
        <w:numPr>
          <w:ilvl w:val="0"/>
          <w:numId w:val="13"/>
        </w:numPr>
        <w:spacing w:before="120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F21E1E">
        <w:rPr>
          <w:rFonts w:ascii="Arial" w:hAnsi="Arial" w:cs="Arial"/>
        </w:rPr>
        <w:t>Hasbun</w:t>
      </w:r>
      <w:proofErr w:type="spellEnd"/>
      <w:r w:rsidRPr="00F21E1E">
        <w:rPr>
          <w:rFonts w:ascii="Arial" w:hAnsi="Arial" w:cs="Arial"/>
        </w:rPr>
        <w:t xml:space="preserve"> R, </w:t>
      </w:r>
      <w:proofErr w:type="spellStart"/>
      <w:r w:rsidRPr="00F21E1E">
        <w:rPr>
          <w:rFonts w:ascii="Arial" w:hAnsi="Arial" w:cs="Arial"/>
        </w:rPr>
        <w:t>Abrahams</w:t>
      </w:r>
      <w:proofErr w:type="spellEnd"/>
      <w:r w:rsidRPr="00F21E1E">
        <w:rPr>
          <w:rFonts w:ascii="Arial" w:hAnsi="Arial" w:cs="Arial"/>
        </w:rPr>
        <w:t xml:space="preserve"> J, </w:t>
      </w:r>
      <w:proofErr w:type="spellStart"/>
      <w:r w:rsidRPr="00F21E1E">
        <w:rPr>
          <w:rFonts w:ascii="Arial" w:hAnsi="Arial" w:cs="Arial"/>
        </w:rPr>
        <w:t>Jekel</w:t>
      </w:r>
      <w:proofErr w:type="spellEnd"/>
      <w:r w:rsidRPr="00F21E1E">
        <w:rPr>
          <w:rFonts w:ascii="Arial" w:hAnsi="Arial" w:cs="Arial"/>
        </w:rPr>
        <w:t xml:space="preserve"> J, </w:t>
      </w:r>
      <w:proofErr w:type="spellStart"/>
      <w:r w:rsidRPr="00F21E1E">
        <w:rPr>
          <w:rFonts w:ascii="Arial" w:hAnsi="Arial" w:cs="Arial"/>
        </w:rPr>
        <w:t>Quagliarello</w:t>
      </w:r>
      <w:proofErr w:type="spellEnd"/>
      <w:r w:rsidRPr="00F21E1E">
        <w:rPr>
          <w:rFonts w:ascii="Arial" w:hAnsi="Arial" w:cs="Arial"/>
        </w:rPr>
        <w:t xml:space="preserve"> VJ. </w:t>
      </w:r>
      <w:r w:rsidRPr="00F21E1E">
        <w:rPr>
          <w:rFonts w:ascii="Arial" w:hAnsi="Arial" w:cs="Arial"/>
          <w:lang w:val="en-US"/>
        </w:rPr>
        <w:t xml:space="preserve">Computed tomography of the head before lumbar puncture in adults with suspected meningitis. N </w:t>
      </w:r>
      <w:proofErr w:type="spellStart"/>
      <w:r w:rsidRPr="00F21E1E">
        <w:rPr>
          <w:rFonts w:ascii="Arial" w:hAnsi="Arial" w:cs="Arial"/>
          <w:lang w:val="en-US"/>
        </w:rPr>
        <w:t>Engl</w:t>
      </w:r>
      <w:proofErr w:type="spellEnd"/>
      <w:r w:rsidRPr="00F21E1E">
        <w:rPr>
          <w:rFonts w:ascii="Arial" w:hAnsi="Arial" w:cs="Arial"/>
          <w:lang w:val="en-US"/>
        </w:rPr>
        <w:t xml:space="preserve"> J Med. 2001 Dec 13. 345(24):1727-33.</w:t>
      </w:r>
    </w:p>
    <w:p w14:paraId="04DE44F7" w14:textId="77777777" w:rsid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  <w:lang w:val="en-US"/>
        </w:rPr>
      </w:pPr>
      <w:r w:rsidRPr="00D8144E">
        <w:rPr>
          <w:rFonts w:ascii="Arial" w:hAnsi="Arial" w:cs="Arial"/>
          <w:lang w:val="en-US"/>
        </w:rPr>
        <w:t xml:space="preserve">van Oosterhout WP, van der </w:t>
      </w:r>
      <w:proofErr w:type="spellStart"/>
      <w:r w:rsidRPr="00D8144E">
        <w:rPr>
          <w:rFonts w:ascii="Arial" w:hAnsi="Arial" w:cs="Arial"/>
          <w:lang w:val="en-US"/>
        </w:rPr>
        <w:t>Plas</w:t>
      </w:r>
      <w:proofErr w:type="spellEnd"/>
      <w:r w:rsidRPr="00D8144E">
        <w:rPr>
          <w:rFonts w:ascii="Arial" w:hAnsi="Arial" w:cs="Arial"/>
          <w:lang w:val="en-US"/>
        </w:rPr>
        <w:t xml:space="preserve"> AA, van </w:t>
      </w:r>
      <w:proofErr w:type="spellStart"/>
      <w:r w:rsidRPr="00D8144E">
        <w:rPr>
          <w:rFonts w:ascii="Arial" w:hAnsi="Arial" w:cs="Arial"/>
          <w:lang w:val="en-US"/>
        </w:rPr>
        <w:t>Zwet</w:t>
      </w:r>
      <w:proofErr w:type="spellEnd"/>
      <w:r w:rsidRPr="00D8144E">
        <w:rPr>
          <w:rFonts w:ascii="Arial" w:hAnsi="Arial" w:cs="Arial"/>
          <w:lang w:val="en-US"/>
        </w:rPr>
        <w:t xml:space="preserve"> EW, et al. </w:t>
      </w:r>
      <w:proofErr w:type="spellStart"/>
      <w:r w:rsidRPr="00D8144E">
        <w:rPr>
          <w:rFonts w:ascii="Arial" w:hAnsi="Arial" w:cs="Arial"/>
          <w:lang w:val="en-US"/>
        </w:rPr>
        <w:t>Postdural</w:t>
      </w:r>
      <w:proofErr w:type="spellEnd"/>
      <w:r w:rsidRPr="00D8144E">
        <w:rPr>
          <w:rFonts w:ascii="Arial" w:hAnsi="Arial" w:cs="Arial"/>
          <w:lang w:val="en-US"/>
        </w:rPr>
        <w:t xml:space="preserve"> puncture headache in migraineurs and </w:t>
      </w:r>
      <w:proofErr w:type="spellStart"/>
      <w:r w:rsidRPr="00D8144E">
        <w:rPr>
          <w:rFonts w:ascii="Arial" w:hAnsi="Arial" w:cs="Arial"/>
          <w:lang w:val="en-US"/>
        </w:rPr>
        <w:t>nonheadache</w:t>
      </w:r>
      <w:proofErr w:type="spellEnd"/>
      <w:r w:rsidRPr="00D8144E">
        <w:rPr>
          <w:rFonts w:ascii="Arial" w:hAnsi="Arial" w:cs="Arial"/>
          <w:lang w:val="en-US"/>
        </w:rPr>
        <w:t xml:space="preserve"> subjects: a prospective study. Neurology. 2013 Mar 5;80(10):941-8.</w:t>
      </w:r>
    </w:p>
    <w:p w14:paraId="493E9A38" w14:textId="77777777" w:rsid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D8144E">
        <w:rPr>
          <w:rFonts w:ascii="Arial" w:hAnsi="Arial" w:cs="Arial"/>
          <w:lang w:val="en-US"/>
        </w:rPr>
        <w:t>Kokki</w:t>
      </w:r>
      <w:proofErr w:type="spellEnd"/>
      <w:r w:rsidRPr="00D8144E">
        <w:rPr>
          <w:rFonts w:ascii="Arial" w:hAnsi="Arial" w:cs="Arial"/>
          <w:lang w:val="en-US"/>
        </w:rPr>
        <w:t xml:space="preserve"> M, </w:t>
      </w:r>
      <w:proofErr w:type="spellStart"/>
      <w:r w:rsidRPr="00D8144E">
        <w:rPr>
          <w:rFonts w:ascii="Arial" w:hAnsi="Arial" w:cs="Arial"/>
          <w:lang w:val="en-US"/>
        </w:rPr>
        <w:t>Sjövall</w:t>
      </w:r>
      <w:proofErr w:type="spellEnd"/>
      <w:r w:rsidRPr="00D8144E">
        <w:rPr>
          <w:rFonts w:ascii="Arial" w:hAnsi="Arial" w:cs="Arial"/>
          <w:lang w:val="en-US"/>
        </w:rPr>
        <w:t xml:space="preserve"> S, </w:t>
      </w:r>
      <w:proofErr w:type="spellStart"/>
      <w:r w:rsidRPr="00D8144E">
        <w:rPr>
          <w:rFonts w:ascii="Arial" w:hAnsi="Arial" w:cs="Arial"/>
          <w:lang w:val="en-US"/>
        </w:rPr>
        <w:t>Kokki</w:t>
      </w:r>
      <w:proofErr w:type="spellEnd"/>
      <w:r w:rsidRPr="00D8144E">
        <w:rPr>
          <w:rFonts w:ascii="Arial" w:hAnsi="Arial" w:cs="Arial"/>
          <w:lang w:val="en-US"/>
        </w:rPr>
        <w:t xml:space="preserve"> H. Epidural blood patches are effective for </w:t>
      </w:r>
      <w:proofErr w:type="spellStart"/>
      <w:r w:rsidRPr="00D8144E">
        <w:rPr>
          <w:rFonts w:ascii="Arial" w:hAnsi="Arial" w:cs="Arial"/>
          <w:lang w:val="en-US"/>
        </w:rPr>
        <w:t>postdural</w:t>
      </w:r>
      <w:proofErr w:type="spellEnd"/>
      <w:r w:rsidRPr="00D8144E">
        <w:rPr>
          <w:rFonts w:ascii="Arial" w:hAnsi="Arial" w:cs="Arial"/>
          <w:lang w:val="en-US"/>
        </w:rPr>
        <w:t xml:space="preserve"> puncture headache in pediatrics--a 10-year experience. </w:t>
      </w:r>
      <w:proofErr w:type="spellStart"/>
      <w:r w:rsidRPr="00D8144E">
        <w:rPr>
          <w:rFonts w:ascii="Arial" w:hAnsi="Arial" w:cs="Arial"/>
          <w:lang w:val="en-US"/>
        </w:rPr>
        <w:t>Paediatr</w:t>
      </w:r>
      <w:proofErr w:type="spellEnd"/>
      <w:r w:rsidRPr="00D8144E">
        <w:rPr>
          <w:rFonts w:ascii="Arial" w:hAnsi="Arial" w:cs="Arial"/>
          <w:lang w:val="en-US"/>
        </w:rPr>
        <w:t xml:space="preserve"> </w:t>
      </w:r>
      <w:proofErr w:type="spellStart"/>
      <w:r w:rsidRPr="00D8144E">
        <w:rPr>
          <w:rFonts w:ascii="Arial" w:hAnsi="Arial" w:cs="Arial"/>
          <w:lang w:val="en-US"/>
        </w:rPr>
        <w:t>Anaesth</w:t>
      </w:r>
      <w:proofErr w:type="spellEnd"/>
      <w:r w:rsidRPr="00D8144E">
        <w:rPr>
          <w:rFonts w:ascii="Arial" w:hAnsi="Arial" w:cs="Arial"/>
          <w:lang w:val="en-US"/>
        </w:rPr>
        <w:t>. 2012 Dec;22(12):1205-10.</w:t>
      </w:r>
    </w:p>
    <w:p w14:paraId="4CC99101" w14:textId="77777777" w:rsid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  <w:lang w:val="en-US"/>
        </w:rPr>
      </w:pPr>
      <w:r w:rsidRPr="00D8144E">
        <w:rPr>
          <w:rFonts w:ascii="Arial" w:hAnsi="Arial" w:cs="Arial"/>
          <w:lang w:val="en-US"/>
        </w:rPr>
        <w:t xml:space="preserve">Frank RL. Lumbar Puncture and Post-Dural Puncture Headaches: Implications for the Emergency Physician. J </w:t>
      </w:r>
      <w:proofErr w:type="spellStart"/>
      <w:r w:rsidRPr="00D8144E">
        <w:rPr>
          <w:rFonts w:ascii="Arial" w:hAnsi="Arial" w:cs="Arial"/>
          <w:lang w:val="en-US"/>
        </w:rPr>
        <w:t>Emerg</w:t>
      </w:r>
      <w:proofErr w:type="spellEnd"/>
      <w:r w:rsidRPr="00D8144E">
        <w:rPr>
          <w:rFonts w:ascii="Arial" w:hAnsi="Arial" w:cs="Arial"/>
          <w:lang w:val="en-US"/>
        </w:rPr>
        <w:t xml:space="preserve"> Med. 2008;35(2):149-157.</w:t>
      </w:r>
    </w:p>
    <w:p w14:paraId="0CDAE338" w14:textId="77777777" w:rsid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  <w:lang w:val="en-US"/>
        </w:rPr>
      </w:pPr>
      <w:r w:rsidRPr="00D8144E">
        <w:rPr>
          <w:rFonts w:ascii="Arial" w:hAnsi="Arial" w:cs="Arial"/>
          <w:lang w:val="en-US"/>
        </w:rPr>
        <w:t xml:space="preserve">Ahmed SV, </w:t>
      </w:r>
      <w:proofErr w:type="spellStart"/>
      <w:r w:rsidRPr="00D8144E">
        <w:rPr>
          <w:rFonts w:ascii="Arial" w:hAnsi="Arial" w:cs="Arial"/>
          <w:lang w:val="en-US"/>
        </w:rPr>
        <w:t>Jayawarna</w:t>
      </w:r>
      <w:proofErr w:type="spellEnd"/>
      <w:r w:rsidRPr="00D8144E">
        <w:rPr>
          <w:rFonts w:ascii="Arial" w:hAnsi="Arial" w:cs="Arial"/>
          <w:lang w:val="en-US"/>
        </w:rPr>
        <w:t xml:space="preserve"> C, Jude E. Post lumbar puncture headache: diagnosis and management. Postgrad Med J. 2006 Nov; 82(973): 713–716</w:t>
      </w:r>
    </w:p>
    <w:p w14:paraId="692008B0" w14:textId="77777777" w:rsidR="00D8144E" w:rsidRP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</w:rPr>
      </w:pPr>
      <w:r w:rsidRPr="00D8144E">
        <w:rPr>
          <w:rFonts w:ascii="Arial" w:hAnsi="Arial" w:cs="Arial"/>
          <w:lang w:val="en-US"/>
        </w:rPr>
        <w:t xml:space="preserve">Jabbari A, </w:t>
      </w:r>
      <w:proofErr w:type="spellStart"/>
      <w:r w:rsidRPr="00D8144E">
        <w:rPr>
          <w:rFonts w:ascii="Arial" w:hAnsi="Arial" w:cs="Arial"/>
          <w:lang w:val="en-US"/>
        </w:rPr>
        <w:t>Roushan</w:t>
      </w:r>
      <w:proofErr w:type="spellEnd"/>
      <w:r w:rsidRPr="00D8144E">
        <w:rPr>
          <w:rFonts w:ascii="Arial" w:hAnsi="Arial" w:cs="Arial"/>
          <w:lang w:val="en-US"/>
        </w:rPr>
        <w:t xml:space="preserve"> MRH. Impact of </w:t>
      </w:r>
      <w:proofErr w:type="spellStart"/>
      <w:r w:rsidRPr="00D8144E">
        <w:rPr>
          <w:rFonts w:ascii="Arial" w:hAnsi="Arial" w:cs="Arial"/>
          <w:lang w:val="en-US"/>
        </w:rPr>
        <w:t>postdural</w:t>
      </w:r>
      <w:proofErr w:type="spellEnd"/>
      <w:r w:rsidRPr="00D8144E">
        <w:rPr>
          <w:rFonts w:ascii="Arial" w:hAnsi="Arial" w:cs="Arial"/>
          <w:lang w:val="en-US"/>
        </w:rPr>
        <w:t xml:space="preserve"> puncture headache after diagnostic lumbar puncture. Caspian J Intern Med. 2014 Spring; 5(2): 56–58. PMCID: PMC3992228</w:t>
      </w:r>
    </w:p>
    <w:p w14:paraId="352DDADB" w14:textId="2A507B54" w:rsidR="00D8144E" w:rsidRP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</w:rPr>
      </w:pPr>
      <w:r w:rsidRPr="00D8144E">
        <w:rPr>
          <w:rFonts w:ascii="Arial" w:hAnsi="Arial" w:cs="Arial"/>
          <w:lang w:val="en-US"/>
        </w:rPr>
        <w:t xml:space="preserve">Best Practices: Lumbar Puncture: Medscape Drugs &amp; Diseases. https://emedicine.medscape.com/article/80773-overview. </w:t>
      </w:r>
      <w:r w:rsidRPr="00D8144E">
        <w:rPr>
          <w:rFonts w:ascii="Arial" w:hAnsi="Arial" w:cs="Arial"/>
        </w:rPr>
        <w:t xml:space="preserve">Último acesso em </w:t>
      </w:r>
      <w:r>
        <w:rPr>
          <w:rFonts w:ascii="Arial" w:hAnsi="Arial" w:cs="Arial"/>
        </w:rPr>
        <w:t>30</w:t>
      </w:r>
      <w:r w:rsidRPr="00D8144E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setembro de 2018</w:t>
      </w:r>
      <w:r w:rsidRPr="00D8144E">
        <w:rPr>
          <w:rFonts w:ascii="Arial" w:hAnsi="Arial" w:cs="Arial"/>
        </w:rPr>
        <w:t>.</w:t>
      </w:r>
    </w:p>
    <w:p w14:paraId="52260C76" w14:textId="77777777" w:rsidR="00D8144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  <w:lang w:val="en-US"/>
        </w:rPr>
      </w:pPr>
      <w:proofErr w:type="spellStart"/>
      <w:r w:rsidRPr="00D8144E">
        <w:rPr>
          <w:rFonts w:ascii="Arial" w:hAnsi="Arial" w:cs="Arial"/>
          <w:lang w:val="en-US"/>
        </w:rPr>
        <w:t>Thoennissen</w:t>
      </w:r>
      <w:proofErr w:type="spellEnd"/>
      <w:r w:rsidRPr="00D8144E">
        <w:rPr>
          <w:rFonts w:ascii="Arial" w:hAnsi="Arial" w:cs="Arial"/>
          <w:lang w:val="en-US"/>
        </w:rPr>
        <w:t xml:space="preserve"> J, </w:t>
      </w:r>
      <w:proofErr w:type="spellStart"/>
      <w:r w:rsidRPr="00D8144E">
        <w:rPr>
          <w:rFonts w:ascii="Arial" w:hAnsi="Arial" w:cs="Arial"/>
          <w:lang w:val="en-US"/>
        </w:rPr>
        <w:t>Herkner</w:t>
      </w:r>
      <w:proofErr w:type="spellEnd"/>
      <w:r w:rsidRPr="00D8144E">
        <w:rPr>
          <w:rFonts w:ascii="Arial" w:hAnsi="Arial" w:cs="Arial"/>
          <w:lang w:val="en-US"/>
        </w:rPr>
        <w:t xml:space="preserve"> H, Lang W, et al. Does bed rest after cervical or lumbar puncture prevent headache? A systematic review and meta-analysis. CMAJ. 2001;165(10):1311.</w:t>
      </w:r>
    </w:p>
    <w:p w14:paraId="5EAD188B" w14:textId="65CEB604" w:rsidR="00D8144E" w:rsidRPr="00F21E1E" w:rsidRDefault="00D8144E" w:rsidP="00D8144E">
      <w:pPr>
        <w:pStyle w:val="PargrafodaLista"/>
        <w:numPr>
          <w:ilvl w:val="0"/>
          <w:numId w:val="13"/>
        </w:numPr>
        <w:spacing w:before="120"/>
        <w:ind w:left="1712" w:hanging="357"/>
        <w:contextualSpacing w:val="0"/>
        <w:jc w:val="both"/>
        <w:rPr>
          <w:rFonts w:ascii="Arial" w:hAnsi="Arial" w:cs="Arial"/>
        </w:rPr>
      </w:pPr>
      <w:proofErr w:type="spellStart"/>
      <w:r w:rsidRPr="00D8144E">
        <w:rPr>
          <w:rFonts w:ascii="Arial" w:hAnsi="Arial" w:cs="Arial"/>
          <w:lang w:val="en-US"/>
        </w:rPr>
        <w:t>Ebinger</w:t>
      </w:r>
      <w:proofErr w:type="spellEnd"/>
      <w:r w:rsidRPr="00D8144E">
        <w:rPr>
          <w:rFonts w:ascii="Arial" w:hAnsi="Arial" w:cs="Arial"/>
          <w:lang w:val="en-US"/>
        </w:rPr>
        <w:t xml:space="preserve"> F, </w:t>
      </w:r>
      <w:proofErr w:type="spellStart"/>
      <w:r w:rsidRPr="00D8144E">
        <w:rPr>
          <w:rFonts w:ascii="Arial" w:hAnsi="Arial" w:cs="Arial"/>
          <w:lang w:val="en-US"/>
        </w:rPr>
        <w:t>Kosel</w:t>
      </w:r>
      <w:proofErr w:type="spellEnd"/>
      <w:r w:rsidRPr="00D8144E">
        <w:rPr>
          <w:rFonts w:ascii="Arial" w:hAnsi="Arial" w:cs="Arial"/>
          <w:lang w:val="en-US"/>
        </w:rPr>
        <w:t xml:space="preserve"> C, </w:t>
      </w:r>
      <w:proofErr w:type="spellStart"/>
      <w:r w:rsidRPr="00D8144E">
        <w:rPr>
          <w:rFonts w:ascii="Arial" w:hAnsi="Arial" w:cs="Arial"/>
          <w:lang w:val="en-US"/>
        </w:rPr>
        <w:t>Pietz</w:t>
      </w:r>
      <w:proofErr w:type="spellEnd"/>
      <w:r w:rsidRPr="00D8144E">
        <w:rPr>
          <w:rFonts w:ascii="Arial" w:hAnsi="Arial" w:cs="Arial"/>
          <w:lang w:val="en-US"/>
        </w:rPr>
        <w:t xml:space="preserve"> J, et al. Strict bed rest following lumbar puncture in children and adolescents is of no benefit. Neurology. 2004;62(6):1003.</w:t>
      </w:r>
    </w:p>
    <w:p w14:paraId="4629963D" w14:textId="00CCAB41" w:rsidR="00F21E1E" w:rsidRDefault="00F21E1E" w:rsidP="00F21E1E">
      <w:pPr>
        <w:spacing w:before="120"/>
        <w:jc w:val="both"/>
        <w:rPr>
          <w:rFonts w:ascii="Arial" w:hAnsi="Arial" w:cs="Arial"/>
        </w:rPr>
      </w:pPr>
    </w:p>
    <w:p w14:paraId="46D285C0" w14:textId="1561E5E1" w:rsidR="00F21E1E" w:rsidRDefault="00F21E1E" w:rsidP="00F21E1E">
      <w:pPr>
        <w:spacing w:before="120"/>
        <w:jc w:val="both"/>
        <w:rPr>
          <w:rFonts w:ascii="Arial" w:hAnsi="Arial" w:cs="Arial"/>
        </w:rPr>
      </w:pPr>
    </w:p>
    <w:p w14:paraId="35F662D3" w14:textId="0D5C121F" w:rsidR="00F21E1E" w:rsidRDefault="00F21E1E" w:rsidP="00F21E1E">
      <w:pPr>
        <w:pStyle w:val="PargrafodaLista"/>
        <w:spacing w:after="120"/>
        <w:ind w:left="1418"/>
        <w:jc w:val="both"/>
        <w:rPr>
          <w:rFonts w:ascii="Arial" w:hAnsi="Arial" w:cs="Arial"/>
        </w:rPr>
      </w:pPr>
      <w:r w:rsidRPr="00F21E1E">
        <w:rPr>
          <w:rFonts w:ascii="Arial" w:hAnsi="Arial" w:cs="Arial"/>
          <w:u w:val="single"/>
        </w:rPr>
        <w:t>Responsável pela elaboração</w:t>
      </w:r>
      <w:r w:rsidRPr="00F11DFB">
        <w:rPr>
          <w:rFonts w:ascii="Arial" w:hAnsi="Arial" w:cs="Arial"/>
        </w:rPr>
        <w:t>:</w:t>
      </w:r>
    </w:p>
    <w:p w14:paraId="202FF420" w14:textId="77777777" w:rsidR="00F21E1E" w:rsidRPr="00F21E1E" w:rsidRDefault="00F21E1E" w:rsidP="00F21E1E">
      <w:pPr>
        <w:pStyle w:val="PargrafodaLista"/>
        <w:spacing w:after="120"/>
        <w:ind w:left="993"/>
        <w:jc w:val="both"/>
        <w:rPr>
          <w:rFonts w:ascii="Arial" w:hAnsi="Arial" w:cs="Arial"/>
        </w:rPr>
      </w:pPr>
    </w:p>
    <w:p w14:paraId="483A1C3B" w14:textId="77777777" w:rsidR="00F21E1E" w:rsidRPr="00F11DFB" w:rsidRDefault="00F21E1E" w:rsidP="00F21E1E">
      <w:pPr>
        <w:pStyle w:val="PargrafodaLista"/>
        <w:spacing w:after="120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Manuela de Oliveira </w:t>
      </w:r>
      <w:proofErr w:type="spellStart"/>
      <w:r>
        <w:rPr>
          <w:rFonts w:ascii="Arial" w:hAnsi="Arial" w:cs="Arial"/>
        </w:rPr>
        <w:t>Fragomeni</w:t>
      </w:r>
      <w:proofErr w:type="spellEnd"/>
      <w:r>
        <w:rPr>
          <w:rFonts w:ascii="Arial" w:hAnsi="Arial" w:cs="Arial"/>
        </w:rPr>
        <w:t xml:space="preserve"> - Neuropediatra / HRT.</w:t>
      </w:r>
    </w:p>
    <w:p w14:paraId="67BCA07C" w14:textId="77777777" w:rsidR="00F21E1E" w:rsidRPr="00F21E1E" w:rsidRDefault="00F21E1E" w:rsidP="00F21E1E">
      <w:pPr>
        <w:spacing w:before="120"/>
        <w:ind w:left="1355"/>
        <w:jc w:val="both"/>
        <w:rPr>
          <w:rFonts w:ascii="Arial" w:hAnsi="Arial" w:cs="Arial"/>
        </w:rPr>
      </w:pPr>
    </w:p>
    <w:p w14:paraId="1A4B70A8" w14:textId="288FF4BD" w:rsidR="00D8144E" w:rsidRDefault="00D8144E" w:rsidP="00D8144E">
      <w:pPr>
        <w:spacing w:after="120"/>
        <w:ind w:left="1353"/>
        <w:jc w:val="both"/>
      </w:pPr>
    </w:p>
    <w:p w14:paraId="35ACBFDE" w14:textId="3F496CE2" w:rsidR="00F21E1E" w:rsidRDefault="00F21E1E" w:rsidP="00D8144E">
      <w:pPr>
        <w:spacing w:after="120"/>
        <w:ind w:left="1353"/>
        <w:jc w:val="both"/>
      </w:pPr>
    </w:p>
    <w:p w14:paraId="7EE2EDA5" w14:textId="0AD3436F" w:rsidR="00F21E1E" w:rsidRPr="00F11DFB" w:rsidRDefault="00F21E1E" w:rsidP="00D8144E">
      <w:pPr>
        <w:spacing w:after="120"/>
        <w:ind w:left="1353"/>
        <w:jc w:val="both"/>
      </w:pPr>
    </w:p>
    <w:p w14:paraId="64AC1B9B" w14:textId="5B2D8ABC" w:rsidR="005B40BA" w:rsidRPr="00F11DFB" w:rsidRDefault="005B40BA" w:rsidP="00C54AD5">
      <w:pPr>
        <w:ind w:left="992"/>
        <w:jc w:val="both"/>
      </w:pPr>
    </w:p>
    <w:sectPr w:rsidR="005B40BA" w:rsidRPr="00F11DFB" w:rsidSect="00E76EAE">
      <w:headerReference w:type="default" r:id="rId7"/>
      <w:pgSz w:w="11900" w:h="16840"/>
      <w:pgMar w:top="1431" w:right="1800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8B2E" w14:textId="77777777" w:rsidR="008B058A" w:rsidRDefault="008B058A" w:rsidP="00953336">
      <w:r>
        <w:separator/>
      </w:r>
    </w:p>
  </w:endnote>
  <w:endnote w:type="continuationSeparator" w:id="0">
    <w:p w14:paraId="7D703F2E" w14:textId="77777777" w:rsidR="008B058A" w:rsidRDefault="008B058A" w:rsidP="00953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1FED" w14:textId="77777777" w:rsidR="008B058A" w:rsidRDefault="008B058A" w:rsidP="00953336">
      <w:r>
        <w:separator/>
      </w:r>
    </w:p>
  </w:footnote>
  <w:footnote w:type="continuationSeparator" w:id="0">
    <w:p w14:paraId="4B82E087" w14:textId="77777777" w:rsidR="008B058A" w:rsidRDefault="008B058A" w:rsidP="00953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9013" w14:textId="77777777" w:rsidR="00C80957" w:rsidRDefault="00C80957" w:rsidP="00953336">
    <w:pPr>
      <w:pStyle w:val="Cabealho"/>
      <w:tabs>
        <w:tab w:val="clear" w:pos="4320"/>
        <w:tab w:val="clear" w:pos="8640"/>
        <w:tab w:val="left" w:pos="6343"/>
      </w:tabs>
    </w:pPr>
    <w:r>
      <w:tab/>
    </w:r>
  </w:p>
  <w:p w14:paraId="639DE897" w14:textId="77777777" w:rsidR="00C80957" w:rsidRDefault="00C80957" w:rsidP="00953336">
    <w:pPr>
      <w:pStyle w:val="Cabealho"/>
      <w:tabs>
        <w:tab w:val="clear" w:pos="4320"/>
        <w:tab w:val="clear" w:pos="8640"/>
        <w:tab w:val="left" w:pos="6343"/>
      </w:tabs>
    </w:pPr>
  </w:p>
  <w:p w14:paraId="3BF0D1D5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</w:rPr>
    </w:pPr>
    <w:r>
      <w:rPr>
        <w:rFonts w:ascii="Arial" w:hAnsi="Arial" w:cs="Arial"/>
      </w:rPr>
      <w:t xml:space="preserve">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1604AD4" wp14:editId="2623867A">
          <wp:simplePos x="0" y="0"/>
          <wp:positionH relativeFrom="margin">
            <wp:posOffset>571500</wp:posOffset>
          </wp:positionH>
          <wp:positionV relativeFrom="margin">
            <wp:posOffset>-986790</wp:posOffset>
          </wp:positionV>
          <wp:extent cx="1068070" cy="903605"/>
          <wp:effectExtent l="0" t="0" r="0" b="10795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7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53336">
      <w:rPr>
        <w:rFonts w:ascii="Arial" w:hAnsi="Arial" w:cs="Arial"/>
        <w:b/>
      </w:rPr>
      <w:t xml:space="preserve"> Hospital Regional de Taguatinga</w:t>
    </w:r>
  </w:p>
  <w:p w14:paraId="20AE9E37" w14:textId="7D126720" w:rsidR="00C80957" w:rsidRPr="00953336" w:rsidRDefault="00C80957" w:rsidP="00CB5492">
    <w:pPr>
      <w:pStyle w:val="Cabealho"/>
      <w:tabs>
        <w:tab w:val="clear" w:pos="4320"/>
        <w:tab w:val="clear" w:pos="8640"/>
        <w:tab w:val="left" w:pos="5103"/>
      </w:tabs>
      <w:spacing w:line="276" w:lineRule="auto"/>
      <w:jc w:val="center"/>
      <w:rPr>
        <w:rFonts w:ascii="Arial" w:hAnsi="Arial" w:cs="Arial"/>
        <w:b/>
      </w:rPr>
    </w:pPr>
    <w:r w:rsidRPr="00953336">
      <w:rPr>
        <w:rFonts w:ascii="Arial" w:hAnsi="Arial" w:cs="Arial"/>
        <w:b/>
      </w:rPr>
      <w:t>Rotinas da Unidade de Pediatria</w:t>
    </w:r>
  </w:p>
  <w:p w14:paraId="65F8628B" w14:textId="77777777" w:rsidR="00C80957" w:rsidRPr="00953336" w:rsidRDefault="00C80957" w:rsidP="00953336">
    <w:pPr>
      <w:pStyle w:val="Cabealho"/>
      <w:tabs>
        <w:tab w:val="clear" w:pos="4320"/>
        <w:tab w:val="clear" w:pos="8640"/>
        <w:tab w:val="left" w:pos="6343"/>
      </w:tabs>
      <w:jc w:val="right"/>
      <w:rPr>
        <w:rFonts w:ascii="Arial" w:hAnsi="Arial" w:cs="Arial"/>
      </w:rPr>
    </w:pPr>
  </w:p>
  <w:p w14:paraId="04E9620A" w14:textId="77777777" w:rsidR="00C80957" w:rsidRPr="00953336" w:rsidRDefault="00C80957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38"/>
    <w:multiLevelType w:val="hybridMultilevel"/>
    <w:tmpl w:val="79E4C68C"/>
    <w:lvl w:ilvl="0" w:tplc="2BFE2630">
      <w:start w:val="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78B0"/>
    <w:multiLevelType w:val="hybridMultilevel"/>
    <w:tmpl w:val="41167046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B515B40"/>
    <w:multiLevelType w:val="hybridMultilevel"/>
    <w:tmpl w:val="62584A4E"/>
    <w:lvl w:ilvl="0" w:tplc="FB7A08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C54BFF"/>
    <w:multiLevelType w:val="hybridMultilevel"/>
    <w:tmpl w:val="FFF633BE"/>
    <w:lvl w:ilvl="0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D351622"/>
    <w:multiLevelType w:val="hybridMultilevel"/>
    <w:tmpl w:val="BB38C762"/>
    <w:lvl w:ilvl="0" w:tplc="5A362A80">
      <w:start w:val="1"/>
      <w:numFmt w:val="bullet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DE85602"/>
    <w:multiLevelType w:val="hybridMultilevel"/>
    <w:tmpl w:val="A4944CDC"/>
    <w:lvl w:ilvl="0" w:tplc="E10066BC">
      <w:start w:val="6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80608"/>
    <w:multiLevelType w:val="hybridMultilevel"/>
    <w:tmpl w:val="94365562"/>
    <w:lvl w:ilvl="0" w:tplc="5DC48B82">
      <w:start w:val="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83A98"/>
    <w:multiLevelType w:val="hybridMultilevel"/>
    <w:tmpl w:val="2DFC86EC"/>
    <w:lvl w:ilvl="0" w:tplc="5A362A80">
      <w:start w:val="1"/>
      <w:numFmt w:val="bullet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4A351491"/>
    <w:multiLevelType w:val="hybridMultilevel"/>
    <w:tmpl w:val="4BAA10EE"/>
    <w:lvl w:ilvl="0" w:tplc="5A362A80">
      <w:start w:val="1"/>
      <w:numFmt w:val="bullet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4EF72924"/>
    <w:multiLevelType w:val="hybridMultilevel"/>
    <w:tmpl w:val="073251FA"/>
    <w:lvl w:ilvl="0" w:tplc="20FA9094"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05A4D26"/>
    <w:multiLevelType w:val="hybridMultilevel"/>
    <w:tmpl w:val="D2E06FF8"/>
    <w:lvl w:ilvl="0" w:tplc="5A362A80">
      <w:start w:val="1"/>
      <w:numFmt w:val="bullet"/>
      <w:lvlText w:val="-"/>
      <w:lvlJc w:val="left"/>
      <w:pPr>
        <w:ind w:left="1353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93B7EDF"/>
    <w:multiLevelType w:val="hybridMultilevel"/>
    <w:tmpl w:val="4B8247CC"/>
    <w:lvl w:ilvl="0" w:tplc="9162E1EA">
      <w:start w:val="10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15190"/>
    <w:multiLevelType w:val="hybridMultilevel"/>
    <w:tmpl w:val="6E0089A0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 w16cid:durableId="1323969349">
    <w:abstractNumId w:val="2"/>
  </w:num>
  <w:num w:numId="2" w16cid:durableId="1500269692">
    <w:abstractNumId w:val="3"/>
  </w:num>
  <w:num w:numId="3" w16cid:durableId="803347571">
    <w:abstractNumId w:val="9"/>
  </w:num>
  <w:num w:numId="4" w16cid:durableId="263808548">
    <w:abstractNumId w:val="12"/>
  </w:num>
  <w:num w:numId="5" w16cid:durableId="728650179">
    <w:abstractNumId w:val="5"/>
  </w:num>
  <w:num w:numId="6" w16cid:durableId="1375689892">
    <w:abstractNumId w:val="11"/>
  </w:num>
  <w:num w:numId="7" w16cid:durableId="99643177">
    <w:abstractNumId w:val="0"/>
  </w:num>
  <w:num w:numId="8" w16cid:durableId="149097937">
    <w:abstractNumId w:val="6"/>
  </w:num>
  <w:num w:numId="9" w16cid:durableId="188422230">
    <w:abstractNumId w:val="8"/>
  </w:num>
  <w:num w:numId="10" w16cid:durableId="1054619986">
    <w:abstractNumId w:val="7"/>
  </w:num>
  <w:num w:numId="11" w16cid:durableId="617375824">
    <w:abstractNumId w:val="4"/>
  </w:num>
  <w:num w:numId="12" w16cid:durableId="400710736">
    <w:abstractNumId w:val="10"/>
  </w:num>
  <w:num w:numId="13" w16cid:durableId="1234850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age 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20wwfspwwaefueapzevd2zzsrzx5wa5art9&quot;&gt;NPED&lt;record-ids&gt;&lt;item&gt;2&lt;/item&gt;&lt;item&gt;3&lt;/item&gt;&lt;item&gt;4&lt;/item&gt;&lt;item&gt;5&lt;/item&gt;&lt;item&gt;6&lt;/item&gt;&lt;item&gt;7&lt;/item&gt;&lt;item&gt;8&lt;/item&gt;&lt;/record-ids&gt;&lt;/item&gt;&lt;/Libraries&gt;"/>
  </w:docVars>
  <w:rsids>
    <w:rsidRoot w:val="00774B5E"/>
    <w:rsid w:val="0000102E"/>
    <w:rsid w:val="000447BC"/>
    <w:rsid w:val="00086D85"/>
    <w:rsid w:val="000A7A11"/>
    <w:rsid w:val="001242F4"/>
    <w:rsid w:val="001261E1"/>
    <w:rsid w:val="00180D9A"/>
    <w:rsid w:val="00192813"/>
    <w:rsid w:val="001B27E4"/>
    <w:rsid w:val="00216257"/>
    <w:rsid w:val="00233C82"/>
    <w:rsid w:val="002B53DC"/>
    <w:rsid w:val="002B57B2"/>
    <w:rsid w:val="002E1FF8"/>
    <w:rsid w:val="00311951"/>
    <w:rsid w:val="003E330D"/>
    <w:rsid w:val="00416765"/>
    <w:rsid w:val="00431D95"/>
    <w:rsid w:val="00435D74"/>
    <w:rsid w:val="004B3F5E"/>
    <w:rsid w:val="004F10F5"/>
    <w:rsid w:val="004F7035"/>
    <w:rsid w:val="00535FCD"/>
    <w:rsid w:val="005462A5"/>
    <w:rsid w:val="00550B4F"/>
    <w:rsid w:val="005758FD"/>
    <w:rsid w:val="005B40BA"/>
    <w:rsid w:val="005B7C30"/>
    <w:rsid w:val="005C2594"/>
    <w:rsid w:val="005C428F"/>
    <w:rsid w:val="005C5011"/>
    <w:rsid w:val="005F3C9D"/>
    <w:rsid w:val="006977D7"/>
    <w:rsid w:val="007467B7"/>
    <w:rsid w:val="00774B5E"/>
    <w:rsid w:val="00776AB1"/>
    <w:rsid w:val="00797225"/>
    <w:rsid w:val="008058EB"/>
    <w:rsid w:val="00865F18"/>
    <w:rsid w:val="00886EF5"/>
    <w:rsid w:val="008A557A"/>
    <w:rsid w:val="008B058A"/>
    <w:rsid w:val="008B459A"/>
    <w:rsid w:val="00953336"/>
    <w:rsid w:val="00961DE5"/>
    <w:rsid w:val="00963A3E"/>
    <w:rsid w:val="00980A41"/>
    <w:rsid w:val="009A6408"/>
    <w:rsid w:val="009B7206"/>
    <w:rsid w:val="00AA42D7"/>
    <w:rsid w:val="00B36258"/>
    <w:rsid w:val="00B67474"/>
    <w:rsid w:val="00B942AB"/>
    <w:rsid w:val="00BD0F37"/>
    <w:rsid w:val="00C138F9"/>
    <w:rsid w:val="00C344DC"/>
    <w:rsid w:val="00C54AD5"/>
    <w:rsid w:val="00C80957"/>
    <w:rsid w:val="00CB5492"/>
    <w:rsid w:val="00CE67F7"/>
    <w:rsid w:val="00D0646D"/>
    <w:rsid w:val="00D8144E"/>
    <w:rsid w:val="00D953AD"/>
    <w:rsid w:val="00DC2730"/>
    <w:rsid w:val="00DD1B7C"/>
    <w:rsid w:val="00E76EAE"/>
    <w:rsid w:val="00EE5A15"/>
    <w:rsid w:val="00F019F2"/>
    <w:rsid w:val="00F11DFB"/>
    <w:rsid w:val="00F21E1E"/>
    <w:rsid w:val="00F70975"/>
    <w:rsid w:val="00F94BD3"/>
    <w:rsid w:val="00FC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6DC6DA0"/>
  <w14:defaultImageDpi w14:val="300"/>
  <w15:docId w15:val="{2AAE133B-E1F8-C44F-B383-E7A94CBB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EF5"/>
    <w:rPr>
      <w:rFonts w:eastAsia="Times New Roman"/>
      <w:color w:val="auto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B5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3336"/>
    <w:rPr>
      <w:rFonts w:ascii="Calibri" w:eastAsia="Calibri" w:hAnsi="Calibr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53336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953336"/>
    <w:rPr>
      <w:rFonts w:ascii="Calibri" w:eastAsia="Calibri" w:hAnsi="Calibr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333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3336"/>
    <w:rPr>
      <w:rFonts w:ascii="Lucida Grande" w:eastAsia="Calibri" w:hAnsi="Lucida Grande" w:cs="Lucida Grande"/>
      <w:sz w:val="18"/>
      <w:szCs w:val="18"/>
    </w:rPr>
  </w:style>
  <w:style w:type="table" w:styleId="ListaClara">
    <w:name w:val="Light List"/>
    <w:basedOn w:val="Tabelanormal"/>
    <w:uiPriority w:val="61"/>
    <w:rsid w:val="004167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EndNoteBibliographyTitle">
    <w:name w:val="EndNote Bibliography Title"/>
    <w:basedOn w:val="Normal"/>
    <w:rsid w:val="005B40BA"/>
    <w:pPr>
      <w:jc w:val="center"/>
    </w:pPr>
  </w:style>
  <w:style w:type="paragraph" w:customStyle="1" w:styleId="EndNoteBibliography">
    <w:name w:val="EndNote Bibliography"/>
    <w:basedOn w:val="Normal"/>
    <w:rsid w:val="005B40BA"/>
    <w:pPr>
      <w:jc w:val="both"/>
    </w:pPr>
  </w:style>
  <w:style w:type="table" w:styleId="Tabelacomgrade">
    <w:name w:val="Table Grid"/>
    <w:basedOn w:val="Tabelanormal"/>
    <w:uiPriority w:val="59"/>
    <w:rsid w:val="00B9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B942A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ade7Colorida">
    <w:name w:val="Grid Table 7 Colorful"/>
    <w:basedOn w:val="Tabelanormal"/>
    <w:uiPriority w:val="52"/>
    <w:rsid w:val="00B94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6Colorida">
    <w:name w:val="Grid Table 6 Colorful"/>
    <w:basedOn w:val="Tabelanormal"/>
    <w:uiPriority w:val="51"/>
    <w:rsid w:val="00B94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B942A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B942A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1501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Oliveira Fragomeni</dc:creator>
  <cp:keywords/>
  <dc:description/>
  <cp:lastModifiedBy>Manuela Fragomeni</cp:lastModifiedBy>
  <cp:revision>6</cp:revision>
  <dcterms:created xsi:type="dcterms:W3CDTF">2018-09-30T21:26:00Z</dcterms:created>
  <dcterms:modified xsi:type="dcterms:W3CDTF">2022-09-04T21:00:00Z</dcterms:modified>
</cp:coreProperties>
</file>