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0D51A" w14:textId="1ABAD038" w:rsidR="00FB6F28" w:rsidRPr="00E45B8C" w:rsidRDefault="00E45B8C">
      <w:pPr>
        <w:rPr>
          <w:rFonts w:ascii="Arial" w:hAnsi="Arial" w:cs="Arial"/>
          <w:bCs/>
          <w:sz w:val="28"/>
          <w:szCs w:val="28"/>
        </w:rPr>
      </w:pPr>
      <w:r w:rsidRPr="00E45B8C">
        <w:rPr>
          <w:rFonts w:ascii="Arial" w:hAnsi="Arial" w:cs="Arial"/>
          <w:bCs/>
          <w:sz w:val="28"/>
          <w:szCs w:val="28"/>
        </w:rPr>
        <w:t>SEQUÊNCIA RÁPIDA DE INTUBAÇÃO</w:t>
      </w:r>
    </w:p>
    <w:p w14:paraId="43AC1652" w14:textId="49E9952F" w:rsidR="0072440A" w:rsidRPr="00780478" w:rsidRDefault="0072440A">
      <w:pPr>
        <w:rPr>
          <w:rFonts w:ascii="Arial" w:hAnsi="Arial" w:cs="Arial"/>
          <w:sz w:val="20"/>
          <w:szCs w:val="20"/>
        </w:rPr>
      </w:pPr>
    </w:p>
    <w:p w14:paraId="3BE11364" w14:textId="77777777" w:rsidR="0072440A" w:rsidRPr="00780478" w:rsidRDefault="0072440A">
      <w:pPr>
        <w:rPr>
          <w:rFonts w:ascii="Arial" w:hAnsi="Arial" w:cs="Arial"/>
          <w:sz w:val="20"/>
          <w:szCs w:val="20"/>
        </w:rPr>
      </w:pPr>
      <w:r w:rsidRPr="00780478">
        <w:rPr>
          <w:rFonts w:ascii="Arial" w:hAnsi="Arial" w:cs="Arial"/>
          <w:sz w:val="20"/>
          <w:szCs w:val="20"/>
        </w:rPr>
        <w:t>A manutenção da via aérea é prioridade no cuidado dos pacientes no setor de emergência. O objetivo é assegurar que a ventilação e a oxigenação estejam de acordo com a demanda do paciente. A intubação traqueal (IT) é frequentemente o procedimento definitivo para atingir esse propósito. Sequência rápida de intubação (SRI) significa a administração sequencial ou quase simultânea de um agente indutor (analgésico e sedativo) e dose-paralisante de um agente bloqueador neuromuscular.   Seu uso tem indicação precisa em situações de “estômago cheio</w:t>
      </w:r>
      <w:proofErr w:type="gramStart"/>
      <w:r w:rsidRPr="00780478">
        <w:rPr>
          <w:rFonts w:ascii="Arial" w:hAnsi="Arial" w:cs="Arial"/>
          <w:sz w:val="20"/>
          <w:szCs w:val="20"/>
        </w:rPr>
        <w:t>” ,</w:t>
      </w:r>
      <w:proofErr w:type="gramEnd"/>
      <w:r w:rsidRPr="00780478">
        <w:rPr>
          <w:rFonts w:ascii="Arial" w:hAnsi="Arial" w:cs="Arial"/>
          <w:sz w:val="20"/>
          <w:szCs w:val="20"/>
        </w:rPr>
        <w:t xml:space="preserve"> no entanto, diante da necessidade de facilitar as condições de IT e gerando melhores condições de visualização, tem sido indicada como procedimento padrão para IT em cenários de urgência.</w:t>
      </w:r>
    </w:p>
    <w:p w14:paraId="44B1C7BB" w14:textId="65F0CB6B" w:rsidR="002145D9" w:rsidRPr="00780478" w:rsidRDefault="002145D9">
      <w:pPr>
        <w:rPr>
          <w:rFonts w:ascii="Arial" w:hAnsi="Arial" w:cs="Arial"/>
          <w:sz w:val="20"/>
          <w:szCs w:val="20"/>
        </w:rPr>
      </w:pPr>
    </w:p>
    <w:p w14:paraId="73483A0E" w14:textId="77777777" w:rsidR="002145D9" w:rsidRPr="00780478" w:rsidRDefault="0072440A">
      <w:pPr>
        <w:rPr>
          <w:rFonts w:ascii="Arial" w:hAnsi="Arial" w:cs="Arial"/>
          <w:sz w:val="20"/>
          <w:szCs w:val="20"/>
        </w:rPr>
      </w:pPr>
      <w:r w:rsidRPr="00780478">
        <w:rPr>
          <w:rFonts w:ascii="Arial" w:hAnsi="Arial" w:cs="Arial"/>
          <w:b/>
          <w:sz w:val="20"/>
          <w:szCs w:val="20"/>
        </w:rPr>
        <w:t>Indicações e preparo para intubação traqueal (IT</w:t>
      </w:r>
      <w:r w:rsidRPr="00780478">
        <w:rPr>
          <w:rFonts w:ascii="Arial" w:hAnsi="Arial" w:cs="Arial"/>
          <w:sz w:val="20"/>
          <w:szCs w:val="20"/>
        </w:rPr>
        <w:t xml:space="preserve">) </w:t>
      </w:r>
    </w:p>
    <w:p w14:paraId="34E82538" w14:textId="77777777" w:rsidR="002145D9" w:rsidRPr="00780478" w:rsidRDefault="0072440A">
      <w:pPr>
        <w:rPr>
          <w:rFonts w:ascii="Arial" w:hAnsi="Arial" w:cs="Arial"/>
          <w:sz w:val="20"/>
          <w:szCs w:val="20"/>
        </w:rPr>
      </w:pPr>
      <w:r w:rsidRPr="00780478">
        <w:rPr>
          <w:rFonts w:ascii="Arial" w:hAnsi="Arial" w:cs="Arial"/>
          <w:sz w:val="20"/>
          <w:szCs w:val="20"/>
        </w:rPr>
        <w:t xml:space="preserve">As principais indicações de IT nos cenários de urgência pediátrico são: tratamento do choque e/ou insuficiência respiratória e situações que levem à alteração de consciência. </w:t>
      </w:r>
    </w:p>
    <w:p w14:paraId="48E8B22E" w14:textId="77777777" w:rsidR="0072440A" w:rsidRPr="00780478" w:rsidRDefault="0072440A">
      <w:pPr>
        <w:rPr>
          <w:rFonts w:ascii="Arial" w:hAnsi="Arial" w:cs="Arial"/>
          <w:sz w:val="20"/>
          <w:szCs w:val="20"/>
        </w:rPr>
      </w:pPr>
      <w:r w:rsidRPr="00780478">
        <w:rPr>
          <w:rFonts w:ascii="Arial" w:hAnsi="Arial" w:cs="Arial"/>
          <w:sz w:val="20"/>
          <w:szCs w:val="20"/>
        </w:rPr>
        <w:t>As etiologias mais comuns da insuficiência respiratória podem ser didaticamente divididas em: obstrução de vias aéreas superiores, obstrução de vias aéreas inferiores, doenças parenquimatosas e controle da respiração (problemas neurológicos que não garantam ou a proteção de vias</w:t>
      </w:r>
      <w:r w:rsidR="002145D9" w:rsidRPr="00780478">
        <w:rPr>
          <w:rFonts w:ascii="Arial" w:hAnsi="Arial" w:cs="Arial"/>
          <w:sz w:val="20"/>
          <w:szCs w:val="20"/>
        </w:rPr>
        <w:t xml:space="preserve"> aéreas ou a ventilação em si).</w:t>
      </w:r>
    </w:p>
    <w:p w14:paraId="22086A93" w14:textId="77777777" w:rsidR="002145D9" w:rsidRPr="00780478" w:rsidRDefault="002145D9">
      <w:pPr>
        <w:rPr>
          <w:rFonts w:ascii="Arial" w:hAnsi="Arial" w:cs="Arial"/>
          <w:sz w:val="20"/>
          <w:szCs w:val="20"/>
        </w:rPr>
      </w:pPr>
      <w:r w:rsidRPr="00780478">
        <w:rPr>
          <w:rFonts w:ascii="Arial" w:hAnsi="Arial" w:cs="Arial"/>
          <w:sz w:val="20"/>
          <w:szCs w:val="20"/>
        </w:rPr>
        <w:t xml:space="preserve">A SRI segura e eficaz exige que se cumpra uma sequência cuidadosa de passos que se iniciam com uma revisão da história do paciente, preparo adequado do equipamento, pessoal e medicamentos. </w:t>
      </w:r>
    </w:p>
    <w:p w14:paraId="37ED5767" w14:textId="77777777" w:rsidR="002145D9" w:rsidRPr="00780478" w:rsidRDefault="002145D9">
      <w:pPr>
        <w:rPr>
          <w:rFonts w:ascii="Arial" w:hAnsi="Arial" w:cs="Arial"/>
          <w:sz w:val="20"/>
          <w:szCs w:val="20"/>
        </w:rPr>
      </w:pPr>
      <w:r w:rsidRPr="00780478">
        <w:rPr>
          <w:rFonts w:ascii="Arial" w:hAnsi="Arial" w:cs="Arial"/>
          <w:sz w:val="20"/>
          <w:szCs w:val="20"/>
        </w:rPr>
        <w:t xml:space="preserve">Consideram -se como etapas seguintes para a SRI: </w:t>
      </w:r>
      <w:proofErr w:type="spellStart"/>
      <w:r w:rsidRPr="00780478">
        <w:rPr>
          <w:rFonts w:ascii="Arial" w:hAnsi="Arial" w:cs="Arial"/>
          <w:sz w:val="20"/>
          <w:szCs w:val="20"/>
        </w:rPr>
        <w:t>pré</w:t>
      </w:r>
      <w:proofErr w:type="spellEnd"/>
      <w:r w:rsidRPr="00780478">
        <w:rPr>
          <w:rFonts w:ascii="Arial" w:hAnsi="Arial" w:cs="Arial"/>
          <w:sz w:val="20"/>
          <w:szCs w:val="20"/>
        </w:rPr>
        <w:t xml:space="preserve">-oxigenação, </w:t>
      </w:r>
      <w:proofErr w:type="spellStart"/>
      <w:r w:rsidRPr="00780478">
        <w:rPr>
          <w:rFonts w:ascii="Arial" w:hAnsi="Arial" w:cs="Arial"/>
          <w:sz w:val="20"/>
          <w:szCs w:val="20"/>
        </w:rPr>
        <w:t>pré</w:t>
      </w:r>
      <w:proofErr w:type="spellEnd"/>
      <w:r w:rsidRPr="00780478">
        <w:rPr>
          <w:rFonts w:ascii="Arial" w:hAnsi="Arial" w:cs="Arial"/>
          <w:sz w:val="20"/>
          <w:szCs w:val="20"/>
        </w:rPr>
        <w:t xml:space="preserve">-medicação, medicação (sedativa), bloqueio neuromuscular, observação e monitoração pós-intubação. </w:t>
      </w:r>
    </w:p>
    <w:p w14:paraId="273EE7A1" w14:textId="61B8A348" w:rsidR="002145D9" w:rsidRPr="00780478" w:rsidRDefault="002145D9">
      <w:pPr>
        <w:rPr>
          <w:rFonts w:ascii="Arial" w:hAnsi="Arial" w:cs="Arial"/>
          <w:sz w:val="20"/>
          <w:szCs w:val="20"/>
        </w:rPr>
      </w:pPr>
    </w:p>
    <w:p w14:paraId="3348E3D4" w14:textId="77777777" w:rsidR="002145D9" w:rsidRPr="00780478" w:rsidRDefault="002145D9">
      <w:pPr>
        <w:rPr>
          <w:rFonts w:ascii="Arial" w:hAnsi="Arial" w:cs="Arial"/>
          <w:b/>
          <w:sz w:val="20"/>
          <w:szCs w:val="20"/>
        </w:rPr>
      </w:pPr>
      <w:r w:rsidRPr="00780478">
        <w:rPr>
          <w:rFonts w:ascii="Arial" w:hAnsi="Arial" w:cs="Arial"/>
          <w:b/>
          <w:sz w:val="20"/>
          <w:szCs w:val="20"/>
        </w:rPr>
        <w:t xml:space="preserve">Anamnese breve e exame físico </w:t>
      </w:r>
    </w:p>
    <w:p w14:paraId="0E591BC7" w14:textId="77777777" w:rsidR="002145D9" w:rsidRPr="00780478" w:rsidRDefault="002145D9">
      <w:pPr>
        <w:rPr>
          <w:rFonts w:ascii="Arial" w:hAnsi="Arial" w:cs="Arial"/>
          <w:sz w:val="20"/>
          <w:szCs w:val="20"/>
        </w:rPr>
      </w:pPr>
      <w:r w:rsidRPr="00780478">
        <w:rPr>
          <w:rFonts w:ascii="Arial" w:hAnsi="Arial" w:cs="Arial"/>
          <w:sz w:val="20"/>
          <w:szCs w:val="20"/>
        </w:rPr>
        <w:t>SAMPLE: sinais e sintomas, alergias, medicações, passado médico, líquidos e última refeição, eventos que levaram à necessidade de intubação.</w:t>
      </w:r>
    </w:p>
    <w:p w14:paraId="0B8B5A04" w14:textId="77777777" w:rsidR="002145D9" w:rsidRPr="00780478" w:rsidRDefault="002145D9">
      <w:pPr>
        <w:rPr>
          <w:rFonts w:ascii="Arial" w:hAnsi="Arial" w:cs="Arial"/>
          <w:b/>
          <w:sz w:val="20"/>
          <w:szCs w:val="20"/>
        </w:rPr>
      </w:pPr>
      <w:r w:rsidRPr="00780478">
        <w:rPr>
          <w:rFonts w:ascii="Arial" w:hAnsi="Arial" w:cs="Arial"/>
          <w:b/>
          <w:sz w:val="20"/>
          <w:szCs w:val="20"/>
        </w:rPr>
        <w:t>Preparo e monitoração</w:t>
      </w:r>
    </w:p>
    <w:p w14:paraId="7C09122F" w14:textId="77777777" w:rsidR="002145D9" w:rsidRPr="00780478" w:rsidRDefault="002145D9">
      <w:pPr>
        <w:rPr>
          <w:rFonts w:ascii="Arial" w:hAnsi="Arial" w:cs="Arial"/>
          <w:sz w:val="20"/>
          <w:szCs w:val="20"/>
        </w:rPr>
      </w:pPr>
      <w:r w:rsidRPr="00780478">
        <w:rPr>
          <w:rFonts w:ascii="Arial" w:hAnsi="Arial" w:cs="Arial"/>
          <w:sz w:val="20"/>
          <w:szCs w:val="20"/>
        </w:rPr>
        <w:t xml:space="preserve">O preparo deve ser iniciado sempre checando e definindo o material necessário para procedimento bem-sucedido: fonte de O2 funcionante com sistema para umidificação, sistema de oferta de oxigênio (preferencialmente de alto fluxo como máscara não </w:t>
      </w:r>
      <w:proofErr w:type="spellStart"/>
      <w:r w:rsidRPr="00780478">
        <w:rPr>
          <w:rFonts w:ascii="Arial" w:hAnsi="Arial" w:cs="Arial"/>
          <w:sz w:val="20"/>
          <w:szCs w:val="20"/>
        </w:rPr>
        <w:t>reinalante</w:t>
      </w:r>
      <w:proofErr w:type="spellEnd"/>
      <w:r w:rsidRPr="00780478">
        <w:rPr>
          <w:rFonts w:ascii="Arial" w:hAnsi="Arial" w:cs="Arial"/>
          <w:sz w:val="20"/>
          <w:szCs w:val="20"/>
        </w:rPr>
        <w:t xml:space="preserve">) para </w:t>
      </w:r>
      <w:proofErr w:type="spellStart"/>
      <w:r w:rsidRPr="00780478">
        <w:rPr>
          <w:rFonts w:ascii="Arial" w:hAnsi="Arial" w:cs="Arial"/>
          <w:sz w:val="20"/>
          <w:szCs w:val="20"/>
        </w:rPr>
        <w:t>hiperoxigenação</w:t>
      </w:r>
      <w:proofErr w:type="spellEnd"/>
      <w:r w:rsidRPr="00780478">
        <w:rPr>
          <w:rFonts w:ascii="Arial" w:hAnsi="Arial" w:cs="Arial"/>
          <w:sz w:val="20"/>
          <w:szCs w:val="20"/>
        </w:rPr>
        <w:t xml:space="preserve"> prévia do paciente, fonte de vácuo com conexão para sonda de aspiração, unidade ventilatória testada e de tamanho adequado para a criança (gerando pressão adequada e com reservatório sem defeitos), máscara apropriada para idade para conexão na unidade ventilatória, laringoscópio apropriado e testado, tubo traqueal (TT) de três tamanhos (ideal para idade, um tamanho menor e um maior), guia para o tubo e as medicações previamente planejadas e prescritas. Além disso, não se deve esquecer de preferencialmente dois acessos calibrosos confiáveis: monitorização cardiorrespiratória e equipe preparada para o procedimento. </w:t>
      </w:r>
    </w:p>
    <w:p w14:paraId="030B80E6" w14:textId="77777777" w:rsidR="002145D9" w:rsidRPr="00780478" w:rsidRDefault="002145D9">
      <w:pPr>
        <w:rPr>
          <w:rFonts w:ascii="Arial" w:hAnsi="Arial" w:cs="Arial"/>
          <w:sz w:val="20"/>
          <w:szCs w:val="20"/>
        </w:rPr>
      </w:pPr>
      <w:r w:rsidRPr="00780478">
        <w:rPr>
          <w:rFonts w:ascii="Arial" w:hAnsi="Arial" w:cs="Arial"/>
          <w:sz w:val="20"/>
          <w:szCs w:val="20"/>
        </w:rPr>
        <w:t xml:space="preserve">Para crianças maiores de dois anos, o tamanho (diâmetro interno em milímetros) pode ser calculado com a fórmula: tamanho do TT (tubo traqueal) sem </w:t>
      </w:r>
      <w:proofErr w:type="spellStart"/>
      <w:r w:rsidRPr="00780478">
        <w:rPr>
          <w:rFonts w:ascii="Arial" w:hAnsi="Arial" w:cs="Arial"/>
          <w:sz w:val="20"/>
          <w:szCs w:val="20"/>
        </w:rPr>
        <w:t>balonete</w:t>
      </w:r>
      <w:proofErr w:type="spellEnd"/>
      <w:r w:rsidRPr="00780478">
        <w:rPr>
          <w:rFonts w:ascii="Arial" w:hAnsi="Arial" w:cs="Arial"/>
          <w:sz w:val="20"/>
          <w:szCs w:val="20"/>
        </w:rPr>
        <w:t xml:space="preserve"> (DI em mm) = (idade </w:t>
      </w:r>
      <w:r w:rsidRPr="00780478">
        <w:rPr>
          <w:rFonts w:ascii="Arial" w:hAnsi="Arial" w:cs="Arial"/>
          <w:sz w:val="20"/>
          <w:szCs w:val="20"/>
        </w:rPr>
        <w:lastRenderedPageBreak/>
        <w:t xml:space="preserve">anos/4) + 4, lactentes até 1 ano 3,5, lactentes entre 1 e 2 anos tubo 4. O tamanho do TT com </w:t>
      </w:r>
      <w:proofErr w:type="spellStart"/>
      <w:r w:rsidRPr="00780478">
        <w:rPr>
          <w:rFonts w:ascii="Arial" w:hAnsi="Arial" w:cs="Arial"/>
          <w:sz w:val="20"/>
          <w:szCs w:val="20"/>
        </w:rPr>
        <w:t>balonete</w:t>
      </w:r>
      <w:proofErr w:type="spellEnd"/>
      <w:r w:rsidRPr="00780478">
        <w:rPr>
          <w:rFonts w:ascii="Arial" w:hAnsi="Arial" w:cs="Arial"/>
          <w:sz w:val="20"/>
          <w:szCs w:val="20"/>
        </w:rPr>
        <w:t xml:space="preserve"> (DI em mm) = idade (anos)/4 + 3,5, lactentes até um ano 3, lactentes entre 1 e 2 anos tubo 3,5. Deve-se ficar atento para o fato de que, no caso de utilização do tubo com </w:t>
      </w:r>
      <w:proofErr w:type="spellStart"/>
      <w:r w:rsidRPr="00780478">
        <w:rPr>
          <w:rFonts w:ascii="Arial" w:hAnsi="Arial" w:cs="Arial"/>
          <w:sz w:val="20"/>
          <w:szCs w:val="20"/>
        </w:rPr>
        <w:t>balonete</w:t>
      </w:r>
      <w:proofErr w:type="spellEnd"/>
      <w:r w:rsidRPr="00780478">
        <w:rPr>
          <w:rFonts w:ascii="Arial" w:hAnsi="Arial" w:cs="Arial"/>
          <w:sz w:val="20"/>
          <w:szCs w:val="20"/>
        </w:rPr>
        <w:t xml:space="preserve">, a pressão de insuflação do </w:t>
      </w:r>
      <w:proofErr w:type="spellStart"/>
      <w:r w:rsidRPr="00780478">
        <w:rPr>
          <w:rFonts w:ascii="Arial" w:hAnsi="Arial" w:cs="Arial"/>
          <w:sz w:val="20"/>
          <w:szCs w:val="20"/>
        </w:rPr>
        <w:t>cuff</w:t>
      </w:r>
      <w:proofErr w:type="spellEnd"/>
      <w:r w:rsidRPr="00780478">
        <w:rPr>
          <w:rFonts w:ascii="Arial" w:hAnsi="Arial" w:cs="Arial"/>
          <w:sz w:val="20"/>
          <w:szCs w:val="20"/>
        </w:rPr>
        <w:t xml:space="preserve"> deve ficar entre 20 e 25 cm de H2 O. </w:t>
      </w:r>
    </w:p>
    <w:p w14:paraId="6B5CB9B7" w14:textId="77777777" w:rsidR="002145D9" w:rsidRPr="00780478" w:rsidRDefault="002145D9">
      <w:pPr>
        <w:rPr>
          <w:rFonts w:ascii="Arial" w:hAnsi="Arial" w:cs="Arial"/>
          <w:sz w:val="20"/>
          <w:szCs w:val="20"/>
        </w:rPr>
      </w:pPr>
      <w:r w:rsidRPr="00780478">
        <w:rPr>
          <w:rFonts w:ascii="Arial" w:hAnsi="Arial" w:cs="Arial"/>
          <w:sz w:val="20"/>
          <w:szCs w:val="20"/>
        </w:rPr>
        <w:t>profundidade de inserção (cm) = idade (anos)/2 + 12. Alternativamente, a distância de inserção (em centímetros) da extremidade distal do tubo ao lábio pode ser estimada pela multiplicação do diâmetro interno de um tubo selecionado por três</w:t>
      </w:r>
      <w:r w:rsidR="00EF7CDB" w:rsidRPr="00780478">
        <w:rPr>
          <w:rFonts w:ascii="Arial" w:hAnsi="Arial" w:cs="Arial"/>
          <w:sz w:val="20"/>
          <w:szCs w:val="20"/>
        </w:rPr>
        <w:t>.</w:t>
      </w:r>
    </w:p>
    <w:p w14:paraId="5F4D8A3B" w14:textId="77777777" w:rsidR="00EF7CDB" w:rsidRDefault="00EF7CDB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1418"/>
        <w:gridCol w:w="2240"/>
        <w:gridCol w:w="1410"/>
      </w:tblGrid>
      <w:tr w:rsidR="003258D3" w14:paraId="206050FE" w14:textId="77777777" w:rsidTr="00CC61BE">
        <w:trPr>
          <w:trHeight w:val="619"/>
        </w:trPr>
        <w:tc>
          <w:tcPr>
            <w:tcW w:w="2518" w:type="dxa"/>
          </w:tcPr>
          <w:p w14:paraId="3CBCE7CE" w14:textId="77777777" w:rsidR="00AB2ECE" w:rsidRPr="00CC61BE" w:rsidRDefault="00AB2EC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61BE">
              <w:rPr>
                <w:rFonts w:ascii="Arial" w:hAnsi="Arial" w:cs="Arial"/>
                <w:b/>
                <w:sz w:val="20"/>
                <w:szCs w:val="20"/>
              </w:rPr>
              <w:t>Ventilação/Oxigenação</w:t>
            </w:r>
          </w:p>
        </w:tc>
        <w:tc>
          <w:tcPr>
            <w:tcW w:w="1134" w:type="dxa"/>
          </w:tcPr>
          <w:p w14:paraId="361592AB" w14:textId="77777777" w:rsidR="00AB2ECE" w:rsidRPr="00CC61BE" w:rsidRDefault="00AB2EC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61BE">
              <w:rPr>
                <w:rFonts w:ascii="Arial" w:hAnsi="Arial" w:cs="Arial"/>
                <w:b/>
                <w:sz w:val="20"/>
                <w:szCs w:val="20"/>
              </w:rPr>
              <w:t>Preparo do Tubo</w:t>
            </w:r>
          </w:p>
        </w:tc>
        <w:tc>
          <w:tcPr>
            <w:tcW w:w="1418" w:type="dxa"/>
          </w:tcPr>
          <w:p w14:paraId="74A872E0" w14:textId="77777777" w:rsidR="00AB2ECE" w:rsidRPr="00CC61BE" w:rsidRDefault="00AB2EC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61BE">
              <w:rPr>
                <w:rFonts w:ascii="Arial" w:hAnsi="Arial" w:cs="Arial"/>
                <w:b/>
                <w:sz w:val="20"/>
                <w:szCs w:val="20"/>
              </w:rPr>
              <w:t>Laringoscopia</w:t>
            </w:r>
          </w:p>
        </w:tc>
        <w:tc>
          <w:tcPr>
            <w:tcW w:w="2240" w:type="dxa"/>
          </w:tcPr>
          <w:p w14:paraId="7D4BE386" w14:textId="77777777" w:rsidR="00AB2ECE" w:rsidRPr="00CC61BE" w:rsidRDefault="00AB2EC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61BE">
              <w:rPr>
                <w:rFonts w:ascii="Arial" w:hAnsi="Arial" w:cs="Arial"/>
                <w:b/>
                <w:sz w:val="20"/>
                <w:szCs w:val="20"/>
              </w:rPr>
              <w:t>Drogas</w:t>
            </w:r>
          </w:p>
        </w:tc>
        <w:tc>
          <w:tcPr>
            <w:tcW w:w="1410" w:type="dxa"/>
          </w:tcPr>
          <w:p w14:paraId="63647819" w14:textId="77777777" w:rsidR="00AB2ECE" w:rsidRPr="00CC61BE" w:rsidRDefault="00AB2EC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61BE">
              <w:rPr>
                <w:rFonts w:ascii="Arial" w:hAnsi="Arial" w:cs="Arial"/>
                <w:b/>
                <w:sz w:val="20"/>
                <w:szCs w:val="20"/>
              </w:rPr>
              <w:t>Verificação e Fixação</w:t>
            </w:r>
          </w:p>
        </w:tc>
      </w:tr>
      <w:tr w:rsidR="003258D3" w14:paraId="68D7B72D" w14:textId="77777777" w:rsidTr="00CC61BE">
        <w:trPr>
          <w:trHeight w:val="2328"/>
        </w:trPr>
        <w:tc>
          <w:tcPr>
            <w:tcW w:w="2518" w:type="dxa"/>
          </w:tcPr>
          <w:p w14:paraId="2A0FE80E" w14:textId="77777777" w:rsidR="00AB2ECE" w:rsidRDefault="00AB2E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Fonte de Oxigênio;</w:t>
            </w:r>
          </w:p>
          <w:p w14:paraId="3F463B60" w14:textId="77777777" w:rsidR="00AB2ECE" w:rsidRDefault="00AB2E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Máscara não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reinalante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0460A6FF" w14:textId="77777777" w:rsidR="00AB2ECE" w:rsidRDefault="00AB2E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Unidade ventilatória testada;</w:t>
            </w:r>
          </w:p>
          <w:p w14:paraId="0AF3454E" w14:textId="77777777" w:rsidR="00AB2ECE" w:rsidRDefault="00AB2E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Máscara de silicone para ventilação;</w:t>
            </w:r>
          </w:p>
          <w:p w14:paraId="31B66B72" w14:textId="77777777" w:rsidR="00AB2ECE" w:rsidRDefault="00AB2E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Cânulas orofaríngeas 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nasofaríngeas</w:t>
            </w:r>
            <w:proofErr w:type="spellEnd"/>
          </w:p>
        </w:tc>
        <w:tc>
          <w:tcPr>
            <w:tcW w:w="1134" w:type="dxa"/>
          </w:tcPr>
          <w:p w14:paraId="3E44D167" w14:textId="77777777" w:rsidR="00AB2ECE" w:rsidRDefault="00AB2E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Tubos 2,5 a 5,0 sem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cuff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71221FDA" w14:textId="77777777" w:rsidR="00AB2ECE" w:rsidRDefault="00AB2E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Tubos 5,0 a 8,0 com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cuff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452CDA51" w14:textId="77777777" w:rsidR="00AB2ECE" w:rsidRDefault="00AB2E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Fio-guia;</w:t>
            </w:r>
          </w:p>
          <w:p w14:paraId="64C03375" w14:textId="77777777" w:rsidR="00AB2ECE" w:rsidRDefault="00AB2E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Seringa de 10 ou 20ml;</w:t>
            </w:r>
          </w:p>
          <w:p w14:paraId="3C830E22" w14:textId="77777777" w:rsidR="00AB2ECE" w:rsidRDefault="00AB2ECE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E.P.I.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capote, máscara, óculos e luvas</w:t>
            </w:r>
          </w:p>
        </w:tc>
        <w:tc>
          <w:tcPr>
            <w:tcW w:w="1418" w:type="dxa"/>
          </w:tcPr>
          <w:p w14:paraId="0AC20725" w14:textId="77777777" w:rsidR="00AB2ECE" w:rsidRDefault="00AB2E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Lâminas retas 0, 1 e 2;</w:t>
            </w:r>
          </w:p>
          <w:p w14:paraId="5098D348" w14:textId="77777777" w:rsidR="00AB2ECE" w:rsidRDefault="00AB2E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Lâminas curvas 2, 3 e 4;</w:t>
            </w:r>
          </w:p>
          <w:p w14:paraId="11EE5DE1" w14:textId="77777777" w:rsidR="00AB2ECE" w:rsidRDefault="00AB2E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Coxim para posicionamento da cabeça;</w:t>
            </w:r>
          </w:p>
          <w:p w14:paraId="009449B9" w14:textId="77777777" w:rsidR="00AB2ECE" w:rsidRDefault="003258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Sonda de aspiração e aspirador montado e checado</w:t>
            </w:r>
          </w:p>
        </w:tc>
        <w:tc>
          <w:tcPr>
            <w:tcW w:w="2240" w:type="dxa"/>
          </w:tcPr>
          <w:p w14:paraId="53DCEE89" w14:textId="77777777" w:rsidR="00AB2ECE" w:rsidRDefault="003258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Seringas/agulhas;</w:t>
            </w:r>
          </w:p>
          <w:p w14:paraId="5DB7DDAD" w14:textId="77777777" w:rsidR="003258D3" w:rsidRDefault="003258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Lidocaína sem vasoconstritor;</w:t>
            </w:r>
          </w:p>
          <w:p w14:paraId="71C02E54" w14:textId="77777777" w:rsidR="003258D3" w:rsidRDefault="003258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Atropina;</w:t>
            </w:r>
          </w:p>
          <w:p w14:paraId="74BE4FB6" w14:textId="77777777" w:rsidR="003258D3" w:rsidRDefault="003258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Anestésicos/Sedativos/ Relaxantes</w:t>
            </w:r>
          </w:p>
        </w:tc>
        <w:tc>
          <w:tcPr>
            <w:tcW w:w="1410" w:type="dxa"/>
          </w:tcPr>
          <w:p w14:paraId="4404FB6B" w14:textId="77777777" w:rsidR="00AB2ECE" w:rsidRDefault="003258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Estetoscópio;</w:t>
            </w:r>
          </w:p>
          <w:p w14:paraId="0E2E0CEB" w14:textId="77777777" w:rsidR="003258D3" w:rsidRDefault="003258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Oxímetro de pulso;</w:t>
            </w:r>
          </w:p>
          <w:p w14:paraId="17B24D12" w14:textId="77777777" w:rsidR="003258D3" w:rsidRDefault="003258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Esparadrapo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Tensoplast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);</w:t>
            </w:r>
          </w:p>
          <w:p w14:paraId="2E4359C5" w14:textId="77777777" w:rsidR="003258D3" w:rsidRDefault="003258D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Capnógrafo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se disponível.</w:t>
            </w:r>
          </w:p>
        </w:tc>
      </w:tr>
    </w:tbl>
    <w:p w14:paraId="369B26AB" w14:textId="77777777" w:rsidR="00AB2ECE" w:rsidRPr="00780478" w:rsidRDefault="00AB2ECE">
      <w:pPr>
        <w:rPr>
          <w:rFonts w:ascii="Arial" w:hAnsi="Arial" w:cs="Arial"/>
          <w:sz w:val="20"/>
          <w:szCs w:val="20"/>
        </w:rPr>
      </w:pPr>
    </w:p>
    <w:p w14:paraId="7927487B" w14:textId="77777777" w:rsidR="002145D9" w:rsidRPr="00780478" w:rsidRDefault="002145D9">
      <w:pPr>
        <w:rPr>
          <w:rFonts w:ascii="Arial" w:hAnsi="Arial" w:cs="Arial"/>
          <w:sz w:val="20"/>
          <w:szCs w:val="20"/>
        </w:rPr>
      </w:pPr>
      <w:proofErr w:type="spellStart"/>
      <w:r w:rsidRPr="00780478">
        <w:rPr>
          <w:rFonts w:ascii="Arial" w:hAnsi="Arial" w:cs="Arial"/>
          <w:b/>
          <w:sz w:val="20"/>
          <w:szCs w:val="20"/>
        </w:rPr>
        <w:t>Pré</w:t>
      </w:r>
      <w:proofErr w:type="spellEnd"/>
      <w:r w:rsidRPr="00780478">
        <w:rPr>
          <w:rFonts w:ascii="Arial" w:hAnsi="Arial" w:cs="Arial"/>
          <w:b/>
          <w:sz w:val="20"/>
          <w:szCs w:val="20"/>
        </w:rPr>
        <w:t>-oxigenação</w:t>
      </w:r>
      <w:r w:rsidRPr="00780478">
        <w:rPr>
          <w:rFonts w:ascii="Arial" w:hAnsi="Arial" w:cs="Arial"/>
          <w:sz w:val="20"/>
          <w:szCs w:val="20"/>
        </w:rPr>
        <w:t xml:space="preserve"> </w:t>
      </w:r>
    </w:p>
    <w:p w14:paraId="73149922" w14:textId="77777777" w:rsidR="002145D9" w:rsidRPr="00780478" w:rsidRDefault="002145D9">
      <w:pPr>
        <w:rPr>
          <w:rFonts w:ascii="Arial" w:hAnsi="Arial" w:cs="Arial"/>
          <w:sz w:val="20"/>
          <w:szCs w:val="20"/>
        </w:rPr>
      </w:pPr>
      <w:r w:rsidRPr="00780478">
        <w:rPr>
          <w:rFonts w:ascii="Arial" w:hAnsi="Arial" w:cs="Arial"/>
          <w:sz w:val="20"/>
          <w:szCs w:val="20"/>
        </w:rPr>
        <w:t xml:space="preserve">A primeira </w:t>
      </w:r>
      <w:proofErr w:type="gramStart"/>
      <w:r w:rsidRPr="00780478">
        <w:rPr>
          <w:rFonts w:ascii="Arial" w:hAnsi="Arial" w:cs="Arial"/>
          <w:sz w:val="20"/>
          <w:szCs w:val="20"/>
        </w:rPr>
        <w:t>etapa  –</w:t>
      </w:r>
      <w:proofErr w:type="gramEnd"/>
      <w:r w:rsidRPr="007804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0478">
        <w:rPr>
          <w:rFonts w:ascii="Arial" w:hAnsi="Arial" w:cs="Arial"/>
          <w:sz w:val="20"/>
          <w:szCs w:val="20"/>
        </w:rPr>
        <w:t>pré</w:t>
      </w:r>
      <w:proofErr w:type="spellEnd"/>
      <w:r w:rsidRPr="00780478">
        <w:rPr>
          <w:rFonts w:ascii="Arial" w:hAnsi="Arial" w:cs="Arial"/>
          <w:sz w:val="20"/>
          <w:szCs w:val="20"/>
        </w:rPr>
        <w:t xml:space="preserve">-oxigenação –  pode ser obtida com o uso de oxigênio a 100% a partir de uma máscara com reservatório não </w:t>
      </w:r>
      <w:proofErr w:type="spellStart"/>
      <w:r w:rsidRPr="00780478">
        <w:rPr>
          <w:rFonts w:ascii="Arial" w:hAnsi="Arial" w:cs="Arial"/>
          <w:sz w:val="20"/>
          <w:szCs w:val="20"/>
        </w:rPr>
        <w:t>reinalante</w:t>
      </w:r>
      <w:proofErr w:type="spellEnd"/>
      <w:r w:rsidRPr="00780478">
        <w:rPr>
          <w:rFonts w:ascii="Arial" w:hAnsi="Arial" w:cs="Arial"/>
          <w:sz w:val="20"/>
          <w:szCs w:val="20"/>
        </w:rPr>
        <w:t xml:space="preserve"> por 3-5 min. O objetivo é </w:t>
      </w:r>
      <w:proofErr w:type="spellStart"/>
      <w:r w:rsidRPr="00780478">
        <w:rPr>
          <w:rFonts w:ascii="Arial" w:hAnsi="Arial" w:cs="Arial"/>
          <w:sz w:val="20"/>
          <w:szCs w:val="20"/>
        </w:rPr>
        <w:t>denitrogenar</w:t>
      </w:r>
      <w:proofErr w:type="spellEnd"/>
      <w:r w:rsidRPr="00780478">
        <w:rPr>
          <w:rFonts w:ascii="Arial" w:hAnsi="Arial" w:cs="Arial"/>
          <w:sz w:val="20"/>
          <w:szCs w:val="20"/>
        </w:rPr>
        <w:t xml:space="preserve"> o paciente, propiciando mais tempo sem </w:t>
      </w:r>
      <w:proofErr w:type="spellStart"/>
      <w:r w:rsidRPr="00780478">
        <w:rPr>
          <w:rFonts w:ascii="Arial" w:hAnsi="Arial" w:cs="Arial"/>
          <w:sz w:val="20"/>
          <w:szCs w:val="20"/>
        </w:rPr>
        <w:t>dessaturação</w:t>
      </w:r>
      <w:proofErr w:type="spellEnd"/>
      <w:r w:rsidRPr="00780478">
        <w:rPr>
          <w:rFonts w:ascii="Arial" w:hAnsi="Arial" w:cs="Arial"/>
          <w:sz w:val="20"/>
          <w:szCs w:val="20"/>
        </w:rPr>
        <w:t xml:space="preserve"> para que o médico realize o procedimento sem risco de hipóxia. </w:t>
      </w:r>
    </w:p>
    <w:p w14:paraId="78439054" w14:textId="77777777" w:rsidR="002145D9" w:rsidRPr="00780478" w:rsidRDefault="002145D9">
      <w:pPr>
        <w:rPr>
          <w:rFonts w:ascii="Arial" w:hAnsi="Arial" w:cs="Arial"/>
          <w:b/>
          <w:sz w:val="20"/>
          <w:szCs w:val="20"/>
        </w:rPr>
      </w:pPr>
      <w:proofErr w:type="spellStart"/>
      <w:r w:rsidRPr="00780478">
        <w:rPr>
          <w:rFonts w:ascii="Arial" w:hAnsi="Arial" w:cs="Arial"/>
          <w:b/>
          <w:sz w:val="20"/>
          <w:szCs w:val="20"/>
        </w:rPr>
        <w:t>Pré</w:t>
      </w:r>
      <w:proofErr w:type="spellEnd"/>
      <w:r w:rsidRPr="00780478">
        <w:rPr>
          <w:rFonts w:ascii="Arial" w:hAnsi="Arial" w:cs="Arial"/>
          <w:b/>
          <w:sz w:val="20"/>
          <w:szCs w:val="20"/>
        </w:rPr>
        <w:t>-medicação</w:t>
      </w:r>
    </w:p>
    <w:p w14:paraId="5304E4C5" w14:textId="77777777" w:rsidR="002145D9" w:rsidRPr="00780478" w:rsidRDefault="002145D9">
      <w:pPr>
        <w:rPr>
          <w:rFonts w:ascii="Arial" w:hAnsi="Arial" w:cs="Arial"/>
          <w:sz w:val="20"/>
          <w:szCs w:val="20"/>
        </w:rPr>
      </w:pPr>
      <w:r w:rsidRPr="00780478">
        <w:rPr>
          <w:rFonts w:ascii="Arial" w:hAnsi="Arial" w:cs="Arial"/>
          <w:sz w:val="20"/>
          <w:szCs w:val="20"/>
        </w:rPr>
        <w:t>os principais são: atropina, lidocaína e opi</w:t>
      </w:r>
      <w:r w:rsidR="00061F2C" w:rsidRPr="00780478">
        <w:rPr>
          <w:rFonts w:ascii="Arial" w:hAnsi="Arial" w:cs="Arial"/>
          <w:sz w:val="20"/>
          <w:szCs w:val="20"/>
        </w:rPr>
        <w:t xml:space="preserve">oides. </w:t>
      </w:r>
      <w:r w:rsidRPr="00780478">
        <w:rPr>
          <w:rFonts w:ascii="Arial" w:hAnsi="Arial" w:cs="Arial"/>
          <w:sz w:val="20"/>
          <w:szCs w:val="20"/>
        </w:rPr>
        <w:t xml:space="preserve"> A escolha do uso dependerá das condições clínicas de cada criança.</w:t>
      </w:r>
    </w:p>
    <w:p w14:paraId="7DC935F3" w14:textId="77777777" w:rsidR="00061F2C" w:rsidRPr="00780478" w:rsidRDefault="00061F2C">
      <w:pPr>
        <w:rPr>
          <w:rFonts w:ascii="Arial" w:hAnsi="Arial" w:cs="Arial"/>
          <w:sz w:val="20"/>
          <w:szCs w:val="20"/>
        </w:rPr>
      </w:pPr>
      <w:r w:rsidRPr="00780478">
        <w:rPr>
          <w:rFonts w:ascii="Arial" w:hAnsi="Arial" w:cs="Arial"/>
          <w:sz w:val="20"/>
          <w:szCs w:val="20"/>
        </w:rPr>
        <w:t xml:space="preserve">A IT é um estímulo nocivo e a laringoscopia induz várias alterações fisiológicas nas crianças, sendo a mais frequente uma resposta vagal mais pronunciada e bradicardia com repercussões. Antes do nascimento e durante os primeiros 3-6 meses de vida, o que se observa é um desbalanço autonômico devido a uma densa inervação vagal do nó sinoatrial e inervação simpática pobre dos ventrículos e sistema de </w:t>
      </w:r>
      <w:proofErr w:type="gramStart"/>
      <w:r w:rsidRPr="00780478">
        <w:rPr>
          <w:rFonts w:ascii="Arial" w:hAnsi="Arial" w:cs="Arial"/>
          <w:sz w:val="20"/>
          <w:szCs w:val="20"/>
        </w:rPr>
        <w:t>condução .</w:t>
      </w:r>
      <w:proofErr w:type="gramEnd"/>
      <w:r w:rsidRPr="00780478">
        <w:rPr>
          <w:rFonts w:ascii="Arial" w:hAnsi="Arial" w:cs="Arial"/>
          <w:sz w:val="20"/>
          <w:szCs w:val="20"/>
        </w:rPr>
        <w:t xml:space="preserve"> A resposta vagal pode ocorrer tanto por hipóxia como pela laringoscopia.</w:t>
      </w:r>
    </w:p>
    <w:p w14:paraId="2B27AA0F" w14:textId="77777777" w:rsidR="00061F2C" w:rsidRPr="00780478" w:rsidRDefault="00061F2C">
      <w:pPr>
        <w:rPr>
          <w:rFonts w:ascii="Arial" w:hAnsi="Arial" w:cs="Arial"/>
          <w:sz w:val="20"/>
          <w:szCs w:val="20"/>
        </w:rPr>
      </w:pPr>
      <w:r w:rsidRPr="00780478">
        <w:rPr>
          <w:rFonts w:ascii="Arial" w:hAnsi="Arial" w:cs="Arial"/>
          <w:sz w:val="20"/>
          <w:szCs w:val="20"/>
        </w:rPr>
        <w:t xml:space="preserve">Por tudo até então exposto, ainda permanece a recomendação do uso de atropina como </w:t>
      </w:r>
      <w:proofErr w:type="spellStart"/>
      <w:r w:rsidRPr="00780478">
        <w:rPr>
          <w:rFonts w:ascii="Arial" w:hAnsi="Arial" w:cs="Arial"/>
          <w:sz w:val="20"/>
          <w:szCs w:val="20"/>
        </w:rPr>
        <w:t>pré</w:t>
      </w:r>
      <w:proofErr w:type="spellEnd"/>
      <w:r w:rsidRPr="00780478">
        <w:rPr>
          <w:rFonts w:ascii="Arial" w:hAnsi="Arial" w:cs="Arial"/>
          <w:sz w:val="20"/>
          <w:szCs w:val="20"/>
        </w:rPr>
        <w:t xml:space="preserve">-medicação sempre para menores de um ano, de 1-5 anos quando se fizer uso de </w:t>
      </w:r>
      <w:proofErr w:type="spellStart"/>
      <w:r w:rsidRPr="00780478">
        <w:rPr>
          <w:rFonts w:ascii="Arial" w:hAnsi="Arial" w:cs="Arial"/>
          <w:sz w:val="20"/>
          <w:szCs w:val="20"/>
        </w:rPr>
        <w:t>succinilcolina</w:t>
      </w:r>
      <w:proofErr w:type="spellEnd"/>
      <w:r w:rsidRPr="00780478">
        <w:rPr>
          <w:rFonts w:ascii="Arial" w:hAnsi="Arial" w:cs="Arial"/>
          <w:sz w:val="20"/>
          <w:szCs w:val="20"/>
        </w:rPr>
        <w:t xml:space="preserve"> e acima dessa idade se uma segunda dose de </w:t>
      </w:r>
      <w:proofErr w:type="spellStart"/>
      <w:r w:rsidRPr="00780478">
        <w:rPr>
          <w:rFonts w:ascii="Arial" w:hAnsi="Arial" w:cs="Arial"/>
          <w:sz w:val="20"/>
          <w:szCs w:val="20"/>
        </w:rPr>
        <w:t>succinilcolina</w:t>
      </w:r>
      <w:proofErr w:type="spellEnd"/>
      <w:r w:rsidRPr="00780478">
        <w:rPr>
          <w:rFonts w:ascii="Arial" w:hAnsi="Arial" w:cs="Arial"/>
          <w:sz w:val="20"/>
          <w:szCs w:val="20"/>
        </w:rPr>
        <w:t xml:space="preserve"> for usada.  O uso da atropina como </w:t>
      </w:r>
      <w:proofErr w:type="spellStart"/>
      <w:r w:rsidRPr="00780478">
        <w:rPr>
          <w:rFonts w:ascii="Arial" w:hAnsi="Arial" w:cs="Arial"/>
          <w:sz w:val="20"/>
          <w:szCs w:val="20"/>
        </w:rPr>
        <w:t>pré</w:t>
      </w:r>
      <w:proofErr w:type="spellEnd"/>
      <w:r w:rsidRPr="00780478">
        <w:rPr>
          <w:rFonts w:ascii="Arial" w:hAnsi="Arial" w:cs="Arial"/>
          <w:sz w:val="20"/>
          <w:szCs w:val="20"/>
        </w:rPr>
        <w:t xml:space="preserve">-medicação também tem sido atualmente recomendada no choque séptico considerando-se os efeitos potencialmente devastadores que a bradicardia poderia ter numa condição como essa, principalmente se acompanhada por </w:t>
      </w:r>
      <w:proofErr w:type="spellStart"/>
      <w:r w:rsidRPr="00780478">
        <w:rPr>
          <w:rFonts w:ascii="Arial" w:hAnsi="Arial" w:cs="Arial"/>
          <w:sz w:val="20"/>
          <w:szCs w:val="20"/>
        </w:rPr>
        <w:t>vasoplegia</w:t>
      </w:r>
      <w:proofErr w:type="spellEnd"/>
      <w:r w:rsidRPr="00780478">
        <w:rPr>
          <w:rFonts w:ascii="Arial" w:hAnsi="Arial" w:cs="Arial"/>
          <w:sz w:val="20"/>
          <w:szCs w:val="20"/>
        </w:rPr>
        <w:t xml:space="preserve">. A dose recomendada é </w:t>
      </w:r>
      <w:r w:rsidRPr="00780478">
        <w:rPr>
          <w:rFonts w:ascii="Arial" w:hAnsi="Arial" w:cs="Arial"/>
          <w:sz w:val="20"/>
          <w:szCs w:val="20"/>
        </w:rPr>
        <w:lastRenderedPageBreak/>
        <w:t xml:space="preserve">de 0,02 mg/kg, lembrando-se sempre da dose mínima de 0,1 mg, bem como da dose máxima de 0,5 mg. Doses mais baixas que </w:t>
      </w:r>
      <w:proofErr w:type="gramStart"/>
      <w:r w:rsidRPr="00780478">
        <w:rPr>
          <w:rFonts w:ascii="Arial" w:hAnsi="Arial" w:cs="Arial"/>
          <w:sz w:val="20"/>
          <w:szCs w:val="20"/>
        </w:rPr>
        <w:t>a mínima podem</w:t>
      </w:r>
      <w:proofErr w:type="gramEnd"/>
      <w:r w:rsidRPr="00780478">
        <w:rPr>
          <w:rFonts w:ascii="Arial" w:hAnsi="Arial" w:cs="Arial"/>
          <w:sz w:val="20"/>
          <w:szCs w:val="20"/>
        </w:rPr>
        <w:t xml:space="preserve"> induzir bradicardia paradoxal.</w:t>
      </w:r>
    </w:p>
    <w:p w14:paraId="2BB3C1D0" w14:textId="77777777" w:rsidR="00061F2C" w:rsidRPr="00780478" w:rsidRDefault="00061F2C">
      <w:pPr>
        <w:rPr>
          <w:rFonts w:ascii="Arial" w:hAnsi="Arial" w:cs="Arial"/>
          <w:sz w:val="20"/>
          <w:szCs w:val="20"/>
        </w:rPr>
      </w:pPr>
      <w:r w:rsidRPr="00780478">
        <w:rPr>
          <w:rFonts w:ascii="Arial" w:hAnsi="Arial" w:cs="Arial"/>
          <w:sz w:val="20"/>
          <w:szCs w:val="20"/>
        </w:rPr>
        <w:t>A lidocaína também pode ser usada nessa fase e tem sua indicação principal nos casos de trauma craniano ou outras situações em que se suspeita de hipertensão intracraniana. Provavelmente está relacionado à supressão da tosse, à depressão do metabolismo cerebral e à estabilização de membrana.</w:t>
      </w:r>
    </w:p>
    <w:p w14:paraId="2A1F2387" w14:textId="77777777" w:rsidR="00061F2C" w:rsidRPr="00780478" w:rsidRDefault="00061F2C">
      <w:pPr>
        <w:rPr>
          <w:rFonts w:ascii="Arial" w:hAnsi="Arial" w:cs="Arial"/>
          <w:sz w:val="20"/>
          <w:szCs w:val="20"/>
        </w:rPr>
      </w:pPr>
      <w:r w:rsidRPr="00780478">
        <w:rPr>
          <w:rFonts w:ascii="Arial" w:hAnsi="Arial" w:cs="Arial"/>
          <w:sz w:val="20"/>
          <w:szCs w:val="20"/>
        </w:rPr>
        <w:t xml:space="preserve"> Os opioides tradicionalmente não estavam incluídos na SRI, que constava apenas do uso de um sedativo (à época tiopental) e relaxante muscular (</w:t>
      </w:r>
      <w:proofErr w:type="spellStart"/>
      <w:r w:rsidRPr="00780478">
        <w:rPr>
          <w:rFonts w:ascii="Arial" w:hAnsi="Arial" w:cs="Arial"/>
          <w:sz w:val="20"/>
          <w:szCs w:val="20"/>
        </w:rPr>
        <w:t>succinilcolina</w:t>
      </w:r>
      <w:proofErr w:type="spellEnd"/>
      <w:r w:rsidRPr="00780478">
        <w:rPr>
          <w:rFonts w:ascii="Arial" w:hAnsi="Arial" w:cs="Arial"/>
          <w:sz w:val="20"/>
          <w:szCs w:val="20"/>
        </w:rPr>
        <w:t xml:space="preserve">). No entanto, nos últimos anos, opioides foram acrescentados ao arsenal de medicações usadas na sequência rápida de intubação. O mais usado e disponível na maioria dos serviços de urgência é o </w:t>
      </w:r>
      <w:proofErr w:type="spellStart"/>
      <w:r w:rsidRPr="00780478">
        <w:rPr>
          <w:rFonts w:ascii="Arial" w:hAnsi="Arial" w:cs="Arial"/>
          <w:sz w:val="20"/>
          <w:szCs w:val="20"/>
        </w:rPr>
        <w:t>fentanil</w:t>
      </w:r>
      <w:proofErr w:type="spellEnd"/>
      <w:r w:rsidRPr="00780478">
        <w:rPr>
          <w:rFonts w:ascii="Arial" w:hAnsi="Arial" w:cs="Arial"/>
          <w:sz w:val="20"/>
          <w:szCs w:val="20"/>
        </w:rPr>
        <w:t>, potente analgésico com efeitos sedativos leves. Também tem o efeito de reduzir a resposta hipertensiva (mais significativa em adultos) à intubação. Pode causar rigidez torácica e esse efeito parece ocorrer mais comumente com doses altas e injeção rápida.</w:t>
      </w:r>
    </w:p>
    <w:p w14:paraId="07A2B927" w14:textId="77777777" w:rsidR="00061F2C" w:rsidRPr="00780478" w:rsidRDefault="00061F2C">
      <w:pPr>
        <w:rPr>
          <w:rFonts w:ascii="Arial" w:hAnsi="Arial" w:cs="Arial"/>
          <w:sz w:val="20"/>
          <w:szCs w:val="20"/>
        </w:rPr>
      </w:pPr>
      <w:r w:rsidRPr="00780478">
        <w:rPr>
          <w:rFonts w:ascii="Arial" w:hAnsi="Arial" w:cs="Arial"/>
          <w:sz w:val="20"/>
          <w:szCs w:val="20"/>
        </w:rPr>
        <w:t>.</w:t>
      </w:r>
    </w:p>
    <w:p w14:paraId="08A5CF1C" w14:textId="77777777" w:rsidR="00061F2C" w:rsidRPr="00780478" w:rsidRDefault="00061F2C">
      <w:pPr>
        <w:rPr>
          <w:rFonts w:ascii="Arial" w:hAnsi="Arial" w:cs="Arial"/>
          <w:b/>
          <w:sz w:val="20"/>
          <w:szCs w:val="20"/>
        </w:rPr>
      </w:pPr>
      <w:r w:rsidRPr="00780478">
        <w:rPr>
          <w:rFonts w:ascii="Arial" w:hAnsi="Arial" w:cs="Arial"/>
          <w:b/>
          <w:sz w:val="20"/>
          <w:szCs w:val="20"/>
        </w:rPr>
        <w:t>Agentes indutores: sedativos</w:t>
      </w:r>
    </w:p>
    <w:p w14:paraId="5C0712A7" w14:textId="77777777" w:rsidR="00061F2C" w:rsidRPr="00780478" w:rsidRDefault="00061F2C">
      <w:pPr>
        <w:rPr>
          <w:rFonts w:ascii="Arial" w:hAnsi="Arial" w:cs="Arial"/>
          <w:b/>
          <w:sz w:val="20"/>
          <w:szCs w:val="20"/>
        </w:rPr>
      </w:pPr>
      <w:proofErr w:type="spellStart"/>
      <w:r w:rsidRPr="00780478">
        <w:rPr>
          <w:rFonts w:ascii="Arial" w:hAnsi="Arial" w:cs="Arial"/>
          <w:b/>
          <w:sz w:val="20"/>
          <w:szCs w:val="20"/>
        </w:rPr>
        <w:t>Etomidato</w:t>
      </w:r>
      <w:proofErr w:type="spellEnd"/>
    </w:p>
    <w:p w14:paraId="16637453" w14:textId="77777777" w:rsidR="00061F2C" w:rsidRPr="00780478" w:rsidRDefault="00061F2C">
      <w:pPr>
        <w:rPr>
          <w:rFonts w:ascii="Arial" w:hAnsi="Arial" w:cs="Arial"/>
          <w:sz w:val="20"/>
          <w:szCs w:val="20"/>
        </w:rPr>
      </w:pPr>
      <w:r w:rsidRPr="00780478">
        <w:rPr>
          <w:rFonts w:ascii="Arial" w:hAnsi="Arial" w:cs="Arial"/>
          <w:sz w:val="20"/>
          <w:szCs w:val="20"/>
        </w:rPr>
        <w:t xml:space="preserve"> É um agente indutor potente pouco utilizado em Pediatria. É um barbitúrico hipnótico que tem início de ação rápido (30-60 segundos), pico de ação com um minuto e meia-vida curta (10-15 minutos), dose de indução de 0,2 a 0,4 mg/kg.   Muitos estudos atuais têm mostrado que doses únicas da medicação interferem na produção de cortisol e por isso tem sido contraindicado na sepse e choque séptico.</w:t>
      </w:r>
    </w:p>
    <w:p w14:paraId="00725DF6" w14:textId="77777777" w:rsidR="00061F2C" w:rsidRPr="00780478" w:rsidRDefault="00061F2C">
      <w:pPr>
        <w:rPr>
          <w:rFonts w:ascii="Arial" w:hAnsi="Arial" w:cs="Arial"/>
          <w:b/>
          <w:sz w:val="20"/>
          <w:szCs w:val="20"/>
        </w:rPr>
      </w:pPr>
      <w:proofErr w:type="spellStart"/>
      <w:r w:rsidRPr="00780478">
        <w:rPr>
          <w:rFonts w:ascii="Arial" w:hAnsi="Arial" w:cs="Arial"/>
          <w:b/>
          <w:sz w:val="20"/>
          <w:szCs w:val="20"/>
        </w:rPr>
        <w:t>Cetamina</w:t>
      </w:r>
      <w:proofErr w:type="spellEnd"/>
    </w:p>
    <w:p w14:paraId="3E8B569F" w14:textId="77777777" w:rsidR="00061F2C" w:rsidRPr="00780478" w:rsidRDefault="00061F2C">
      <w:pPr>
        <w:rPr>
          <w:rFonts w:ascii="Arial" w:hAnsi="Arial" w:cs="Arial"/>
          <w:sz w:val="20"/>
          <w:szCs w:val="20"/>
        </w:rPr>
      </w:pPr>
      <w:r w:rsidRPr="00780478">
        <w:rPr>
          <w:rFonts w:ascii="Arial" w:hAnsi="Arial" w:cs="Arial"/>
          <w:sz w:val="20"/>
          <w:szCs w:val="20"/>
        </w:rPr>
        <w:t xml:space="preserve">É caracterizada por potente analgesia (único dos sedativos descritos no artigo com propriedade analgésica), sedação e amnésia, enquanto mantém estabilidade cardiovascular e preserva respirações espontâneas e reflexos de proteção de vias aéreas, além de propriedades </w:t>
      </w:r>
      <w:proofErr w:type="spellStart"/>
      <w:r w:rsidRPr="00780478">
        <w:rPr>
          <w:rFonts w:ascii="Arial" w:hAnsi="Arial" w:cs="Arial"/>
          <w:sz w:val="20"/>
          <w:szCs w:val="20"/>
        </w:rPr>
        <w:t>broncodilatadoras</w:t>
      </w:r>
      <w:proofErr w:type="spellEnd"/>
      <w:r w:rsidRPr="00780478">
        <w:rPr>
          <w:rFonts w:ascii="Arial" w:hAnsi="Arial" w:cs="Arial"/>
          <w:sz w:val="20"/>
          <w:szCs w:val="20"/>
        </w:rPr>
        <w:t xml:space="preserve">. Diferentemente da maioria dos agentes, não é </w:t>
      </w:r>
      <w:proofErr w:type="spellStart"/>
      <w:r w:rsidRPr="00780478">
        <w:rPr>
          <w:rFonts w:ascii="Arial" w:hAnsi="Arial" w:cs="Arial"/>
          <w:sz w:val="20"/>
          <w:szCs w:val="20"/>
        </w:rPr>
        <w:t>titulável</w:t>
      </w:r>
      <w:proofErr w:type="spellEnd"/>
      <w:r w:rsidRPr="00780478">
        <w:rPr>
          <w:rFonts w:ascii="Arial" w:hAnsi="Arial" w:cs="Arial"/>
          <w:sz w:val="20"/>
          <w:szCs w:val="20"/>
        </w:rPr>
        <w:t xml:space="preserve"> com efeitos dissociativos apresentados com doses de 1,5-2 mg/kg venoso (IV) e 3 ou 4 mg/kg intramuscular (IM).</w:t>
      </w:r>
      <w:r w:rsidR="00EF7CDB" w:rsidRPr="00780478">
        <w:rPr>
          <w:rFonts w:ascii="Arial" w:hAnsi="Arial" w:cs="Arial"/>
          <w:sz w:val="20"/>
          <w:szCs w:val="20"/>
        </w:rPr>
        <w:t xml:space="preserve">  Apesar de descrito um efeito indutor de </w:t>
      </w:r>
      <w:proofErr w:type="spellStart"/>
      <w:r w:rsidR="00EF7CDB" w:rsidRPr="00780478">
        <w:rPr>
          <w:rFonts w:ascii="Arial" w:hAnsi="Arial" w:cs="Arial"/>
          <w:sz w:val="20"/>
          <w:szCs w:val="20"/>
        </w:rPr>
        <w:t>laringoespasmo</w:t>
      </w:r>
      <w:proofErr w:type="spellEnd"/>
      <w:r w:rsidR="00EF7CDB" w:rsidRPr="00780478">
        <w:rPr>
          <w:rFonts w:ascii="Arial" w:hAnsi="Arial" w:cs="Arial"/>
          <w:sz w:val="20"/>
          <w:szCs w:val="20"/>
        </w:rPr>
        <w:t xml:space="preserve"> em diversas condições, incluindo a asma mesmo, nesse cenário clínico não há contraindicações para intubação com o uso do agente desde que o bloqueador neuromuscular seja usado. Na verdade, muitos artigos que abordam o assunto consideram-no como de escolha nas situações de broncoespasmo.  Muito se questiona sobre a possibilidade de aumento da pressão intracraniana com o uso da </w:t>
      </w:r>
      <w:proofErr w:type="spellStart"/>
      <w:r w:rsidR="00EF7CDB" w:rsidRPr="00780478">
        <w:rPr>
          <w:rFonts w:ascii="Arial" w:hAnsi="Arial" w:cs="Arial"/>
          <w:sz w:val="20"/>
          <w:szCs w:val="20"/>
        </w:rPr>
        <w:t>cetamina</w:t>
      </w:r>
      <w:proofErr w:type="spellEnd"/>
      <w:r w:rsidR="00EF7CDB" w:rsidRPr="00780478">
        <w:rPr>
          <w:rFonts w:ascii="Arial" w:hAnsi="Arial" w:cs="Arial"/>
          <w:sz w:val="20"/>
          <w:szCs w:val="20"/>
        </w:rPr>
        <w:t xml:space="preserve">.  O </w:t>
      </w:r>
      <w:proofErr w:type="spellStart"/>
      <w:r w:rsidR="00EF7CDB" w:rsidRPr="00780478">
        <w:rPr>
          <w:rFonts w:ascii="Arial" w:hAnsi="Arial" w:cs="Arial"/>
          <w:sz w:val="20"/>
          <w:szCs w:val="20"/>
        </w:rPr>
        <w:t>guideline</w:t>
      </w:r>
      <w:proofErr w:type="spellEnd"/>
      <w:r w:rsidR="00EF7CDB" w:rsidRPr="00780478">
        <w:rPr>
          <w:rFonts w:ascii="Arial" w:hAnsi="Arial" w:cs="Arial"/>
          <w:sz w:val="20"/>
          <w:szCs w:val="20"/>
        </w:rPr>
        <w:t xml:space="preserve"> prático para o uso da </w:t>
      </w:r>
      <w:proofErr w:type="spellStart"/>
      <w:r w:rsidR="00EF7CDB" w:rsidRPr="00780478">
        <w:rPr>
          <w:rFonts w:ascii="Arial" w:hAnsi="Arial" w:cs="Arial"/>
          <w:sz w:val="20"/>
          <w:szCs w:val="20"/>
        </w:rPr>
        <w:t>cetamina</w:t>
      </w:r>
      <w:proofErr w:type="spellEnd"/>
      <w:r w:rsidR="00EF7CDB" w:rsidRPr="00780478">
        <w:rPr>
          <w:rFonts w:ascii="Arial" w:hAnsi="Arial" w:cs="Arial"/>
          <w:sz w:val="20"/>
          <w:szCs w:val="20"/>
        </w:rPr>
        <w:t xml:space="preserve"> no departamento de </w:t>
      </w:r>
      <w:proofErr w:type="gramStart"/>
      <w:r w:rsidR="00EF7CDB" w:rsidRPr="00780478">
        <w:rPr>
          <w:rFonts w:ascii="Arial" w:hAnsi="Arial" w:cs="Arial"/>
          <w:sz w:val="20"/>
          <w:szCs w:val="20"/>
        </w:rPr>
        <w:t>urgência  retirou</w:t>
      </w:r>
      <w:proofErr w:type="gramEnd"/>
      <w:r w:rsidR="00EF7CDB" w:rsidRPr="00780478">
        <w:rPr>
          <w:rFonts w:ascii="Arial" w:hAnsi="Arial" w:cs="Arial"/>
          <w:sz w:val="20"/>
          <w:szCs w:val="20"/>
        </w:rPr>
        <w:t xml:space="preserve"> o TCE da lista das contraindicações relativas, no entanto, manteve massas, anormalidades do SNC e hidrocefalia como diagnósticos para uso cauteloso (contraindicações relativas).</w:t>
      </w:r>
    </w:p>
    <w:p w14:paraId="0286EAB5" w14:textId="77777777" w:rsidR="00EF7CDB" w:rsidRPr="00780478" w:rsidRDefault="00EF7CDB">
      <w:pPr>
        <w:rPr>
          <w:rFonts w:ascii="Arial" w:hAnsi="Arial" w:cs="Arial"/>
          <w:b/>
          <w:sz w:val="20"/>
          <w:szCs w:val="20"/>
        </w:rPr>
      </w:pPr>
      <w:proofErr w:type="spellStart"/>
      <w:r w:rsidRPr="00780478">
        <w:rPr>
          <w:rFonts w:ascii="Arial" w:hAnsi="Arial" w:cs="Arial"/>
          <w:b/>
          <w:sz w:val="20"/>
          <w:szCs w:val="20"/>
        </w:rPr>
        <w:t>Midazolam</w:t>
      </w:r>
      <w:proofErr w:type="spellEnd"/>
    </w:p>
    <w:p w14:paraId="0CE6D1A3" w14:textId="77777777" w:rsidR="00EF7CDB" w:rsidRPr="00780478" w:rsidRDefault="00EF7CDB">
      <w:pPr>
        <w:rPr>
          <w:rFonts w:ascii="Arial" w:hAnsi="Arial" w:cs="Arial"/>
          <w:sz w:val="20"/>
          <w:szCs w:val="20"/>
        </w:rPr>
      </w:pPr>
      <w:r w:rsidRPr="00780478">
        <w:rPr>
          <w:rFonts w:ascii="Arial" w:hAnsi="Arial" w:cs="Arial"/>
          <w:sz w:val="20"/>
          <w:szCs w:val="20"/>
        </w:rPr>
        <w:t xml:space="preserve"> Apesar do uso muito frequente, é considerado agente </w:t>
      </w:r>
      <w:proofErr w:type="spellStart"/>
      <w:r w:rsidRPr="00780478">
        <w:rPr>
          <w:rFonts w:ascii="Arial" w:hAnsi="Arial" w:cs="Arial"/>
          <w:sz w:val="20"/>
          <w:szCs w:val="20"/>
        </w:rPr>
        <w:t>subótimo</w:t>
      </w:r>
      <w:proofErr w:type="spellEnd"/>
      <w:r w:rsidRPr="00780478">
        <w:rPr>
          <w:rFonts w:ascii="Arial" w:hAnsi="Arial" w:cs="Arial"/>
          <w:sz w:val="20"/>
          <w:szCs w:val="20"/>
        </w:rPr>
        <w:t xml:space="preserve"> para intubação, tanto por não produzir sedação adequada como condições de intubação não ideais.  Tem efeitos sedativo, hipnótico, amnésico, ansiolítico, relaxante muscular e anticonvulsivante.  Deve ser usado com cautela em condições de instabilidade hemodinâmica devido aos seus efeitos inotrópicos negativos e vasodilatadores, principalmente se associado ao opioide. </w:t>
      </w:r>
    </w:p>
    <w:p w14:paraId="0E051052" w14:textId="77777777" w:rsidR="00EF7CDB" w:rsidRPr="00780478" w:rsidRDefault="00EF7CDB">
      <w:pPr>
        <w:rPr>
          <w:rFonts w:ascii="Arial" w:hAnsi="Arial" w:cs="Arial"/>
          <w:b/>
          <w:sz w:val="20"/>
          <w:szCs w:val="20"/>
        </w:rPr>
      </w:pPr>
      <w:r w:rsidRPr="00780478">
        <w:rPr>
          <w:rFonts w:ascii="Arial" w:hAnsi="Arial" w:cs="Arial"/>
          <w:b/>
          <w:sz w:val="20"/>
          <w:szCs w:val="20"/>
        </w:rPr>
        <w:t>Tiopental</w:t>
      </w:r>
    </w:p>
    <w:p w14:paraId="734FC370" w14:textId="77777777" w:rsidR="00EF7CDB" w:rsidRPr="00780478" w:rsidRDefault="00EF7CDB">
      <w:pPr>
        <w:rPr>
          <w:rFonts w:ascii="Arial" w:hAnsi="Arial" w:cs="Arial"/>
          <w:sz w:val="20"/>
          <w:szCs w:val="20"/>
        </w:rPr>
      </w:pPr>
      <w:r w:rsidRPr="00780478">
        <w:rPr>
          <w:rFonts w:ascii="Arial" w:hAnsi="Arial" w:cs="Arial"/>
          <w:sz w:val="20"/>
          <w:szCs w:val="20"/>
        </w:rPr>
        <w:lastRenderedPageBreak/>
        <w:t xml:space="preserve"> Tiobarbitúrico com rápido início de ação (30 segundos) e meia-vida curta. Reduz o consumo de O</w:t>
      </w:r>
      <w:proofErr w:type="gramStart"/>
      <w:r w:rsidRPr="00780478">
        <w:rPr>
          <w:rFonts w:ascii="Arial" w:hAnsi="Arial" w:cs="Arial"/>
          <w:sz w:val="20"/>
          <w:szCs w:val="20"/>
        </w:rPr>
        <w:t>2 ,</w:t>
      </w:r>
      <w:proofErr w:type="gramEnd"/>
      <w:r w:rsidRPr="00780478">
        <w:rPr>
          <w:rFonts w:ascii="Arial" w:hAnsi="Arial" w:cs="Arial"/>
          <w:sz w:val="20"/>
          <w:szCs w:val="20"/>
        </w:rPr>
        <w:t xml:space="preserve"> o fluxo cerebral e a pressão intracraniana. Está associado, contudo, à hipotensão por efeitos na contratilidade miocárdica, resistência vascular e retorno venoso. Não deve, portanto, ser usado em pacientes com instabilidade hemodinâmica.</w:t>
      </w:r>
    </w:p>
    <w:p w14:paraId="56099057" w14:textId="77777777" w:rsidR="00EF7CDB" w:rsidRPr="00780478" w:rsidRDefault="00EF7CDB">
      <w:pPr>
        <w:rPr>
          <w:rFonts w:ascii="Arial" w:hAnsi="Arial" w:cs="Arial"/>
          <w:b/>
          <w:sz w:val="20"/>
          <w:szCs w:val="20"/>
        </w:rPr>
      </w:pPr>
      <w:proofErr w:type="spellStart"/>
      <w:r w:rsidRPr="00780478">
        <w:rPr>
          <w:rFonts w:ascii="Arial" w:hAnsi="Arial" w:cs="Arial"/>
          <w:b/>
          <w:sz w:val="20"/>
          <w:szCs w:val="20"/>
        </w:rPr>
        <w:t>Propofol</w:t>
      </w:r>
      <w:proofErr w:type="spellEnd"/>
      <w:r w:rsidRPr="00780478">
        <w:rPr>
          <w:rFonts w:ascii="Arial" w:hAnsi="Arial" w:cs="Arial"/>
          <w:b/>
          <w:sz w:val="20"/>
          <w:szCs w:val="20"/>
        </w:rPr>
        <w:t xml:space="preserve"> </w:t>
      </w:r>
    </w:p>
    <w:p w14:paraId="47F34A5F" w14:textId="77777777" w:rsidR="00EF7CDB" w:rsidRPr="00780478" w:rsidRDefault="00EF7CDB">
      <w:pPr>
        <w:rPr>
          <w:rFonts w:ascii="Arial" w:hAnsi="Arial" w:cs="Arial"/>
          <w:sz w:val="20"/>
          <w:szCs w:val="20"/>
        </w:rPr>
      </w:pPr>
      <w:r w:rsidRPr="00780478">
        <w:rPr>
          <w:rFonts w:ascii="Arial" w:hAnsi="Arial" w:cs="Arial"/>
          <w:sz w:val="20"/>
          <w:szCs w:val="20"/>
        </w:rPr>
        <w:t xml:space="preserve">De curta meia- -vida e duração de ação, tem propriedades anticonvulsivantes e </w:t>
      </w:r>
      <w:proofErr w:type="spellStart"/>
      <w:r w:rsidRPr="00780478">
        <w:rPr>
          <w:rFonts w:ascii="Arial" w:hAnsi="Arial" w:cs="Arial"/>
          <w:sz w:val="20"/>
          <w:szCs w:val="20"/>
        </w:rPr>
        <w:t>antieméticas</w:t>
      </w:r>
      <w:proofErr w:type="spellEnd"/>
      <w:r w:rsidRPr="00780478">
        <w:rPr>
          <w:rFonts w:ascii="Arial" w:hAnsi="Arial" w:cs="Arial"/>
          <w:sz w:val="20"/>
          <w:szCs w:val="20"/>
        </w:rPr>
        <w:t>, além de proporcionar as melhores condições de intubação sem o uso do relaxante muscular. Reduz a pressão intracraniana e o metabolismo cerebral. Possui a tendência a provocar queda na pressão arterial e deve ser usado com cautela em pacientes em risco de hipotensão, principalmente considerando que a redução da mesma leva à redução na perfusão cerebral.</w:t>
      </w:r>
    </w:p>
    <w:p w14:paraId="5B790683" w14:textId="77777777" w:rsidR="00EF7CDB" w:rsidRPr="00780478" w:rsidRDefault="00EF7CDB">
      <w:pPr>
        <w:rPr>
          <w:rFonts w:ascii="Arial" w:hAnsi="Arial" w:cs="Arial"/>
          <w:sz w:val="20"/>
          <w:szCs w:val="20"/>
        </w:rPr>
      </w:pPr>
      <w:r w:rsidRPr="00780478">
        <w:rPr>
          <w:rFonts w:ascii="Arial" w:hAnsi="Arial" w:cs="Arial"/>
          <w:sz w:val="20"/>
          <w:szCs w:val="20"/>
        </w:rPr>
        <w:t>.</w:t>
      </w:r>
    </w:p>
    <w:p w14:paraId="4CFBADED" w14:textId="77777777" w:rsidR="00EF7CDB" w:rsidRPr="00780478" w:rsidRDefault="00EF7CDB">
      <w:pPr>
        <w:rPr>
          <w:rFonts w:ascii="Arial" w:hAnsi="Arial" w:cs="Arial"/>
          <w:b/>
          <w:sz w:val="20"/>
          <w:szCs w:val="20"/>
        </w:rPr>
      </w:pPr>
      <w:r w:rsidRPr="00780478">
        <w:rPr>
          <w:rFonts w:ascii="Arial" w:hAnsi="Arial" w:cs="Arial"/>
          <w:b/>
          <w:sz w:val="20"/>
          <w:szCs w:val="20"/>
        </w:rPr>
        <w:t>Bloqueio neuromuscular</w:t>
      </w:r>
    </w:p>
    <w:p w14:paraId="6E4C2ADF" w14:textId="77777777" w:rsidR="00061F2C" w:rsidRPr="00780478" w:rsidRDefault="00061F2C">
      <w:pPr>
        <w:rPr>
          <w:rFonts w:ascii="Arial" w:hAnsi="Arial" w:cs="Arial"/>
          <w:b/>
          <w:sz w:val="20"/>
          <w:szCs w:val="20"/>
        </w:rPr>
      </w:pPr>
    </w:p>
    <w:p w14:paraId="7B159BAD" w14:textId="77777777" w:rsidR="00EF7CDB" w:rsidRPr="00780478" w:rsidRDefault="00EF7CDB">
      <w:pPr>
        <w:rPr>
          <w:rFonts w:ascii="Arial" w:hAnsi="Arial" w:cs="Arial"/>
          <w:sz w:val="20"/>
          <w:szCs w:val="20"/>
        </w:rPr>
      </w:pPr>
      <w:r w:rsidRPr="00780478">
        <w:rPr>
          <w:rFonts w:ascii="Arial" w:hAnsi="Arial" w:cs="Arial"/>
          <w:sz w:val="20"/>
          <w:szCs w:val="20"/>
        </w:rPr>
        <w:t>O mesmo deve ser sempre usado como parte da SRI, exceto em condições em que se prevê uma via aérea difícil ou não se possuem condições alternativas para abordagem da condição: “não intuba, não ventila”.</w:t>
      </w:r>
    </w:p>
    <w:p w14:paraId="070246FE" w14:textId="77777777" w:rsidR="003D5C52" w:rsidRPr="00780478" w:rsidRDefault="00EF7CDB">
      <w:pPr>
        <w:rPr>
          <w:rFonts w:ascii="Arial" w:hAnsi="Arial" w:cs="Arial"/>
          <w:b/>
          <w:sz w:val="20"/>
          <w:szCs w:val="20"/>
        </w:rPr>
      </w:pPr>
      <w:r w:rsidRPr="00780478">
        <w:rPr>
          <w:rFonts w:ascii="Arial" w:hAnsi="Arial" w:cs="Arial"/>
          <w:b/>
          <w:sz w:val="20"/>
          <w:szCs w:val="20"/>
        </w:rPr>
        <w:t xml:space="preserve">Despolarizante: </w:t>
      </w:r>
    </w:p>
    <w:p w14:paraId="7D6A3D96" w14:textId="77777777" w:rsidR="00EF7CDB" w:rsidRPr="00780478" w:rsidRDefault="003D5C52">
      <w:pPr>
        <w:rPr>
          <w:rFonts w:ascii="Arial" w:hAnsi="Arial" w:cs="Arial"/>
          <w:b/>
          <w:sz w:val="20"/>
          <w:szCs w:val="20"/>
        </w:rPr>
      </w:pPr>
      <w:proofErr w:type="spellStart"/>
      <w:r w:rsidRPr="00780478">
        <w:rPr>
          <w:rFonts w:ascii="Arial" w:hAnsi="Arial" w:cs="Arial"/>
          <w:b/>
          <w:sz w:val="20"/>
          <w:szCs w:val="20"/>
        </w:rPr>
        <w:t>S</w:t>
      </w:r>
      <w:r w:rsidR="00EF7CDB" w:rsidRPr="00780478">
        <w:rPr>
          <w:rFonts w:ascii="Arial" w:hAnsi="Arial" w:cs="Arial"/>
          <w:b/>
          <w:sz w:val="20"/>
          <w:szCs w:val="20"/>
        </w:rPr>
        <w:t>uccinilcolina</w:t>
      </w:r>
      <w:proofErr w:type="spellEnd"/>
    </w:p>
    <w:p w14:paraId="6FC98FFC" w14:textId="77777777" w:rsidR="003D5C52" w:rsidRPr="00780478" w:rsidRDefault="003D5C52">
      <w:pPr>
        <w:rPr>
          <w:rFonts w:ascii="Arial" w:hAnsi="Arial" w:cs="Arial"/>
          <w:sz w:val="20"/>
          <w:szCs w:val="20"/>
        </w:rPr>
      </w:pPr>
      <w:r w:rsidRPr="00780478">
        <w:rPr>
          <w:rFonts w:ascii="Arial" w:hAnsi="Arial" w:cs="Arial"/>
          <w:sz w:val="20"/>
          <w:szCs w:val="20"/>
        </w:rPr>
        <w:t xml:space="preserve">Funciona como agonista do receptor de acetilcolina de uma maneira bifásica: primeiro, abre os canais de sódio da membrana celular, resultando em breve despolarização que pode ser notada clinicamente, como </w:t>
      </w:r>
      <w:proofErr w:type="spellStart"/>
      <w:r w:rsidRPr="00780478">
        <w:rPr>
          <w:rFonts w:ascii="Arial" w:hAnsi="Arial" w:cs="Arial"/>
          <w:sz w:val="20"/>
          <w:szCs w:val="20"/>
        </w:rPr>
        <w:t>fasciculações</w:t>
      </w:r>
      <w:proofErr w:type="spellEnd"/>
      <w:r w:rsidRPr="00780478">
        <w:rPr>
          <w:rFonts w:ascii="Arial" w:hAnsi="Arial" w:cs="Arial"/>
          <w:sz w:val="20"/>
          <w:szCs w:val="20"/>
        </w:rPr>
        <w:t xml:space="preserve"> musculares. Então, previne a ligação da própria acetilcolina aos receptores, onde se liga promovendo o bloqueio completo.  A </w:t>
      </w:r>
      <w:proofErr w:type="spellStart"/>
      <w:r w:rsidRPr="00780478">
        <w:rPr>
          <w:rFonts w:ascii="Arial" w:hAnsi="Arial" w:cs="Arial"/>
          <w:sz w:val="20"/>
          <w:szCs w:val="20"/>
        </w:rPr>
        <w:t>succinilcolina</w:t>
      </w:r>
      <w:proofErr w:type="spellEnd"/>
      <w:r w:rsidRPr="00780478">
        <w:rPr>
          <w:rFonts w:ascii="Arial" w:hAnsi="Arial" w:cs="Arial"/>
          <w:sz w:val="20"/>
          <w:szCs w:val="20"/>
        </w:rPr>
        <w:t xml:space="preserve"> tem rápido início de ação (um minuto) e curto tempo de duração (5-15 minutos) e a ventilação pode retornar em 9-10 minutos.  As doses são controversas, com referências citando metabolismo principalmente em crianças abaixo de três anos, mais rápido que em adultos, e preconizando doses mais altas nessas faixas etárias.  A dose é de 3 mg/ kg para lactentes menores de um ano e 2 mg/kg para as outras faixas etárias.  Deve ser evitado após as primeiras 24h em pacientes com queimaduras e após 72h em pacientes com síndromes de denervação aguda ou </w:t>
      </w:r>
      <w:proofErr w:type="spellStart"/>
      <w:r w:rsidRPr="00780478">
        <w:rPr>
          <w:rFonts w:ascii="Arial" w:hAnsi="Arial" w:cs="Arial"/>
          <w:sz w:val="20"/>
          <w:szCs w:val="20"/>
        </w:rPr>
        <w:t>politrauma</w:t>
      </w:r>
      <w:proofErr w:type="spellEnd"/>
      <w:r w:rsidRPr="00780478">
        <w:rPr>
          <w:rFonts w:ascii="Arial" w:hAnsi="Arial" w:cs="Arial"/>
          <w:sz w:val="20"/>
          <w:szCs w:val="20"/>
        </w:rPr>
        <w:t xml:space="preserve">. Nesses casos ocorre </w:t>
      </w:r>
      <w:proofErr w:type="spellStart"/>
      <w:r w:rsidRPr="00780478">
        <w:rPr>
          <w:rFonts w:ascii="Arial" w:hAnsi="Arial" w:cs="Arial"/>
          <w:sz w:val="20"/>
          <w:szCs w:val="20"/>
        </w:rPr>
        <w:t>up</w:t>
      </w:r>
      <w:proofErr w:type="spellEnd"/>
      <w:r w:rsidRPr="007804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0478">
        <w:rPr>
          <w:rFonts w:ascii="Arial" w:hAnsi="Arial" w:cs="Arial"/>
          <w:sz w:val="20"/>
          <w:szCs w:val="20"/>
        </w:rPr>
        <w:t>regulation</w:t>
      </w:r>
      <w:proofErr w:type="spellEnd"/>
      <w:r w:rsidRPr="00780478">
        <w:rPr>
          <w:rFonts w:ascii="Arial" w:hAnsi="Arial" w:cs="Arial"/>
          <w:sz w:val="20"/>
          <w:szCs w:val="20"/>
        </w:rPr>
        <w:t xml:space="preserve"> de receptores nicotínicos musculares, o que leva a exagerada resposta </w:t>
      </w:r>
      <w:proofErr w:type="spellStart"/>
      <w:r w:rsidRPr="00780478">
        <w:rPr>
          <w:rFonts w:ascii="Arial" w:hAnsi="Arial" w:cs="Arial"/>
          <w:sz w:val="20"/>
          <w:szCs w:val="20"/>
        </w:rPr>
        <w:t>hipercalêmica</w:t>
      </w:r>
      <w:proofErr w:type="spellEnd"/>
      <w:r w:rsidRPr="00780478">
        <w:rPr>
          <w:rFonts w:ascii="Arial" w:hAnsi="Arial" w:cs="Arial"/>
          <w:sz w:val="20"/>
          <w:szCs w:val="20"/>
        </w:rPr>
        <w:t xml:space="preserve">, principalmente em situações de rabdomiólise.  Provoca aumentos no potássio sérico de até 0,5 </w:t>
      </w:r>
      <w:proofErr w:type="spellStart"/>
      <w:r w:rsidRPr="00780478">
        <w:rPr>
          <w:rFonts w:ascii="Arial" w:hAnsi="Arial" w:cs="Arial"/>
          <w:sz w:val="20"/>
          <w:szCs w:val="20"/>
        </w:rPr>
        <w:t>mEq</w:t>
      </w:r>
      <w:proofErr w:type="spellEnd"/>
      <w:r w:rsidRPr="00780478">
        <w:rPr>
          <w:rFonts w:ascii="Arial" w:hAnsi="Arial" w:cs="Arial"/>
          <w:sz w:val="20"/>
          <w:szCs w:val="20"/>
        </w:rPr>
        <w:t xml:space="preserve">/L.  A </w:t>
      </w:r>
      <w:proofErr w:type="spellStart"/>
      <w:r w:rsidRPr="00780478">
        <w:rPr>
          <w:rFonts w:ascii="Arial" w:hAnsi="Arial" w:cs="Arial"/>
          <w:sz w:val="20"/>
          <w:szCs w:val="20"/>
        </w:rPr>
        <w:t>succinilcolina</w:t>
      </w:r>
      <w:proofErr w:type="spellEnd"/>
      <w:r w:rsidRPr="00780478">
        <w:rPr>
          <w:rFonts w:ascii="Arial" w:hAnsi="Arial" w:cs="Arial"/>
          <w:sz w:val="20"/>
          <w:szCs w:val="20"/>
        </w:rPr>
        <w:t xml:space="preserve"> provoca rigidez muscular do masseter em 0,3 a 1% dos pacientes pediátricos que, se for acentuada, pode ser um sinal precoce de hipertermia maligna. Pode induzir arritmias, sendo as mais frequentes as </w:t>
      </w:r>
      <w:proofErr w:type="spellStart"/>
      <w:r w:rsidRPr="00780478">
        <w:rPr>
          <w:rFonts w:ascii="Arial" w:hAnsi="Arial" w:cs="Arial"/>
          <w:sz w:val="20"/>
          <w:szCs w:val="20"/>
        </w:rPr>
        <w:t>bradiarritmias</w:t>
      </w:r>
      <w:proofErr w:type="spellEnd"/>
      <w:r w:rsidRPr="00780478">
        <w:rPr>
          <w:rFonts w:ascii="Arial" w:hAnsi="Arial" w:cs="Arial"/>
          <w:sz w:val="20"/>
          <w:szCs w:val="20"/>
        </w:rPr>
        <w:t xml:space="preserve">, o que justifica o uso da atropina como </w:t>
      </w:r>
      <w:proofErr w:type="spellStart"/>
      <w:r w:rsidRPr="00780478">
        <w:rPr>
          <w:rFonts w:ascii="Arial" w:hAnsi="Arial" w:cs="Arial"/>
          <w:sz w:val="20"/>
          <w:szCs w:val="20"/>
        </w:rPr>
        <w:t>pré</w:t>
      </w:r>
      <w:proofErr w:type="spellEnd"/>
      <w:r w:rsidRPr="00780478">
        <w:rPr>
          <w:rFonts w:ascii="Arial" w:hAnsi="Arial" w:cs="Arial"/>
          <w:sz w:val="20"/>
          <w:szCs w:val="20"/>
        </w:rPr>
        <w:t>-medicação nas crianças.</w:t>
      </w:r>
    </w:p>
    <w:p w14:paraId="22A5B75A" w14:textId="77777777" w:rsidR="003D5C52" w:rsidRPr="00780478" w:rsidRDefault="003D5C52">
      <w:pPr>
        <w:rPr>
          <w:rFonts w:ascii="Arial" w:hAnsi="Arial" w:cs="Arial"/>
          <w:b/>
          <w:sz w:val="20"/>
          <w:szCs w:val="20"/>
        </w:rPr>
      </w:pPr>
      <w:r w:rsidRPr="00780478">
        <w:rPr>
          <w:rFonts w:ascii="Arial" w:hAnsi="Arial" w:cs="Arial"/>
          <w:b/>
          <w:sz w:val="20"/>
          <w:szCs w:val="20"/>
        </w:rPr>
        <w:t>Não despolarizantes</w:t>
      </w:r>
    </w:p>
    <w:p w14:paraId="4A77B476" w14:textId="77777777" w:rsidR="003D5C52" w:rsidRPr="00780478" w:rsidRDefault="003D5C52">
      <w:pPr>
        <w:rPr>
          <w:rFonts w:ascii="Arial" w:hAnsi="Arial" w:cs="Arial"/>
          <w:sz w:val="20"/>
          <w:szCs w:val="20"/>
        </w:rPr>
      </w:pPr>
      <w:r w:rsidRPr="00780478">
        <w:rPr>
          <w:rFonts w:ascii="Arial" w:hAnsi="Arial" w:cs="Arial"/>
          <w:sz w:val="20"/>
          <w:szCs w:val="20"/>
        </w:rPr>
        <w:t xml:space="preserve">Os bloqueadores neuromusculares não despolarizantes são antagonistas competitivos dos receptores de acetilcolina e uma alternativa à </w:t>
      </w:r>
      <w:proofErr w:type="spellStart"/>
      <w:r w:rsidRPr="00780478">
        <w:rPr>
          <w:rFonts w:ascii="Arial" w:hAnsi="Arial" w:cs="Arial"/>
          <w:sz w:val="20"/>
          <w:szCs w:val="20"/>
        </w:rPr>
        <w:t>succinilcolina</w:t>
      </w:r>
      <w:proofErr w:type="spellEnd"/>
      <w:r w:rsidRPr="00780478">
        <w:rPr>
          <w:rFonts w:ascii="Arial" w:hAnsi="Arial" w:cs="Arial"/>
          <w:sz w:val="20"/>
          <w:szCs w:val="20"/>
        </w:rPr>
        <w:t xml:space="preserve">. São também chamados de relaxantes esteroides. O </w:t>
      </w:r>
      <w:proofErr w:type="spellStart"/>
      <w:r w:rsidRPr="00780478">
        <w:rPr>
          <w:rFonts w:ascii="Arial" w:hAnsi="Arial" w:cs="Arial"/>
          <w:sz w:val="20"/>
          <w:szCs w:val="20"/>
        </w:rPr>
        <w:t>rocurônio</w:t>
      </w:r>
      <w:proofErr w:type="spellEnd"/>
      <w:r w:rsidRPr="00780478">
        <w:rPr>
          <w:rFonts w:ascii="Arial" w:hAnsi="Arial" w:cs="Arial"/>
          <w:sz w:val="20"/>
          <w:szCs w:val="20"/>
        </w:rPr>
        <w:t xml:space="preserve"> é um dos mais usados na prática clínica, deriva-se do </w:t>
      </w:r>
      <w:proofErr w:type="spellStart"/>
      <w:r w:rsidRPr="00780478">
        <w:rPr>
          <w:rFonts w:ascii="Arial" w:hAnsi="Arial" w:cs="Arial"/>
          <w:sz w:val="20"/>
          <w:szCs w:val="20"/>
        </w:rPr>
        <w:t>vecurônio</w:t>
      </w:r>
      <w:proofErr w:type="spellEnd"/>
      <w:r w:rsidRPr="00780478">
        <w:rPr>
          <w:rFonts w:ascii="Arial" w:hAnsi="Arial" w:cs="Arial"/>
          <w:sz w:val="20"/>
          <w:szCs w:val="20"/>
        </w:rPr>
        <w:t xml:space="preserve">. É o relaxante neuromuscular </w:t>
      </w:r>
      <w:proofErr w:type="spellStart"/>
      <w:r w:rsidRPr="00780478">
        <w:rPr>
          <w:rFonts w:ascii="Arial" w:hAnsi="Arial" w:cs="Arial"/>
          <w:sz w:val="20"/>
          <w:szCs w:val="20"/>
        </w:rPr>
        <w:t>adespolarizante</w:t>
      </w:r>
      <w:proofErr w:type="spellEnd"/>
      <w:r w:rsidRPr="00780478">
        <w:rPr>
          <w:rFonts w:ascii="Arial" w:hAnsi="Arial" w:cs="Arial"/>
          <w:sz w:val="20"/>
          <w:szCs w:val="20"/>
        </w:rPr>
        <w:t xml:space="preserve"> com início de ação mais rápido. Bloqueia a ligação da acetilcolina ao receptor nicotínico. O </w:t>
      </w:r>
      <w:proofErr w:type="spellStart"/>
      <w:r w:rsidRPr="00780478">
        <w:rPr>
          <w:rFonts w:ascii="Arial" w:hAnsi="Arial" w:cs="Arial"/>
          <w:sz w:val="20"/>
          <w:szCs w:val="20"/>
        </w:rPr>
        <w:t>rocurônio</w:t>
      </w:r>
      <w:proofErr w:type="spellEnd"/>
      <w:r w:rsidRPr="00780478">
        <w:rPr>
          <w:rFonts w:ascii="Arial" w:hAnsi="Arial" w:cs="Arial"/>
          <w:sz w:val="20"/>
          <w:szCs w:val="20"/>
        </w:rPr>
        <w:t xml:space="preserve"> é a droga de escolha, quando a </w:t>
      </w:r>
      <w:proofErr w:type="spellStart"/>
      <w:r w:rsidRPr="00780478">
        <w:rPr>
          <w:rFonts w:ascii="Arial" w:hAnsi="Arial" w:cs="Arial"/>
          <w:sz w:val="20"/>
          <w:szCs w:val="20"/>
        </w:rPr>
        <w:t>succinilcolina</w:t>
      </w:r>
      <w:proofErr w:type="spellEnd"/>
      <w:r w:rsidRPr="00780478">
        <w:rPr>
          <w:rFonts w:ascii="Arial" w:hAnsi="Arial" w:cs="Arial"/>
          <w:sz w:val="20"/>
          <w:szCs w:val="20"/>
        </w:rPr>
        <w:t xml:space="preserve"> for contraindicada. Nas doses de 0,6 mg/kg tem início de ação de cerca de 90 segundos e duração de 45 minutos em lactentes e 27 minutos em crianças; e em doses mais altas, como 1,2 mg/kg, início de ação em 30 segundos e duração de 53 minutos, em média.  Os relaxantes esteroides têm tempo de ação mais longo, embora suas doses tenham </w:t>
      </w:r>
      <w:r w:rsidRPr="00780478">
        <w:rPr>
          <w:rFonts w:ascii="Arial" w:hAnsi="Arial" w:cs="Arial"/>
          <w:sz w:val="20"/>
          <w:szCs w:val="20"/>
        </w:rPr>
        <w:lastRenderedPageBreak/>
        <w:t xml:space="preserve">que ser mais altas, o que prolonga ainda mais o tempo de bloqueio quando usados. Em casos de via aérea presumidamente difícil, devem ser evitados. O bloqueio neuromuscular induzido pelo </w:t>
      </w:r>
      <w:proofErr w:type="spellStart"/>
      <w:r w:rsidRPr="00780478">
        <w:rPr>
          <w:rFonts w:ascii="Arial" w:hAnsi="Arial" w:cs="Arial"/>
          <w:sz w:val="20"/>
          <w:szCs w:val="20"/>
        </w:rPr>
        <w:t>rocurônio</w:t>
      </w:r>
      <w:proofErr w:type="spellEnd"/>
      <w:r w:rsidRPr="00780478">
        <w:rPr>
          <w:rFonts w:ascii="Arial" w:hAnsi="Arial" w:cs="Arial"/>
          <w:sz w:val="20"/>
          <w:szCs w:val="20"/>
        </w:rPr>
        <w:t xml:space="preserve"> pode ser completamente antagonizado por inibidores da acetilcolinesterase como a </w:t>
      </w:r>
      <w:proofErr w:type="spellStart"/>
      <w:r w:rsidRPr="00780478">
        <w:rPr>
          <w:rFonts w:ascii="Arial" w:hAnsi="Arial" w:cs="Arial"/>
          <w:sz w:val="20"/>
          <w:szCs w:val="20"/>
        </w:rPr>
        <w:t>neostigmine</w:t>
      </w:r>
      <w:proofErr w:type="spellEnd"/>
      <w:r w:rsidRPr="00780478">
        <w:rPr>
          <w:rFonts w:ascii="Arial" w:hAnsi="Arial" w:cs="Arial"/>
          <w:sz w:val="20"/>
          <w:szCs w:val="20"/>
        </w:rPr>
        <w:t>.</w:t>
      </w:r>
    </w:p>
    <w:p w14:paraId="6D52F89E" w14:textId="77777777" w:rsidR="003D5C52" w:rsidRPr="00780478" w:rsidRDefault="003D5C52">
      <w:pPr>
        <w:rPr>
          <w:rFonts w:ascii="Arial" w:hAnsi="Arial" w:cs="Arial"/>
          <w:sz w:val="20"/>
          <w:szCs w:val="20"/>
        </w:rPr>
      </w:pPr>
    </w:p>
    <w:p w14:paraId="2318B8DD" w14:textId="77777777" w:rsidR="00167A4F" w:rsidRDefault="00167A4F">
      <w:pPr>
        <w:rPr>
          <w:rFonts w:ascii="Arial" w:hAnsi="Arial" w:cs="Arial"/>
          <w:b/>
          <w:sz w:val="20"/>
          <w:szCs w:val="20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4321"/>
        <w:gridCol w:w="4321"/>
      </w:tblGrid>
      <w:tr w:rsidR="00167A4F" w14:paraId="33908F08" w14:textId="77777777" w:rsidTr="00167A4F">
        <w:trPr>
          <w:trHeight w:val="513"/>
        </w:trPr>
        <w:tc>
          <w:tcPr>
            <w:tcW w:w="4321" w:type="dxa"/>
          </w:tcPr>
          <w:p w14:paraId="0678CCAE" w14:textId="77777777" w:rsidR="00167A4F" w:rsidRDefault="00167A4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PASSOS</w:t>
            </w:r>
          </w:p>
        </w:tc>
        <w:tc>
          <w:tcPr>
            <w:tcW w:w="4321" w:type="dxa"/>
          </w:tcPr>
          <w:p w14:paraId="6350F33E" w14:textId="77777777" w:rsidR="00167A4F" w:rsidRDefault="00167A4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AÇÕES</w:t>
            </w:r>
          </w:p>
        </w:tc>
      </w:tr>
      <w:tr w:rsidR="00167A4F" w14:paraId="5D420D91" w14:textId="77777777" w:rsidTr="00167A4F">
        <w:trPr>
          <w:trHeight w:val="513"/>
        </w:trPr>
        <w:tc>
          <w:tcPr>
            <w:tcW w:w="4321" w:type="dxa"/>
          </w:tcPr>
          <w:p w14:paraId="4BCBE2E6" w14:textId="77777777" w:rsidR="00167A4F" w:rsidRDefault="00167A4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Checar Materiais</w:t>
            </w:r>
          </w:p>
        </w:tc>
        <w:tc>
          <w:tcPr>
            <w:tcW w:w="4321" w:type="dxa"/>
          </w:tcPr>
          <w:p w14:paraId="67CC65D9" w14:textId="77777777" w:rsidR="00167A4F" w:rsidRDefault="0016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Verificar os equipamentos necessários, checar conexões;</w:t>
            </w:r>
          </w:p>
          <w:p w14:paraId="276C1CEF" w14:textId="77777777" w:rsidR="00167A4F" w:rsidRDefault="0016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Calcular as doses das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pré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-medicações, sedativos e relaxantes neuromusculares disponíveis no serviço;</w:t>
            </w:r>
          </w:p>
          <w:p w14:paraId="799ED443" w14:textId="77777777" w:rsidR="00167A4F" w:rsidRPr="00167A4F" w:rsidRDefault="0016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Providenciar o preenchimento da folha de parada.</w:t>
            </w:r>
          </w:p>
        </w:tc>
      </w:tr>
      <w:tr w:rsidR="00167A4F" w14:paraId="7611DD75" w14:textId="77777777" w:rsidTr="00167A4F">
        <w:trPr>
          <w:trHeight w:val="513"/>
        </w:trPr>
        <w:tc>
          <w:tcPr>
            <w:tcW w:w="4321" w:type="dxa"/>
          </w:tcPr>
          <w:p w14:paraId="4A0F5E00" w14:textId="77777777" w:rsidR="00167A4F" w:rsidRDefault="00167A4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Monitoração</w:t>
            </w:r>
          </w:p>
        </w:tc>
        <w:tc>
          <w:tcPr>
            <w:tcW w:w="4321" w:type="dxa"/>
          </w:tcPr>
          <w:p w14:paraId="4A95F62C" w14:textId="77777777" w:rsidR="00167A4F" w:rsidRPr="00560A95" w:rsidRDefault="00167A4F">
            <w:pPr>
              <w:rPr>
                <w:rFonts w:ascii="Arial" w:hAnsi="Arial" w:cs="Arial"/>
                <w:sz w:val="20"/>
                <w:szCs w:val="20"/>
              </w:rPr>
            </w:pPr>
            <w:r w:rsidRPr="00560A95">
              <w:rPr>
                <w:rFonts w:ascii="Arial" w:hAnsi="Arial" w:cs="Arial"/>
                <w:sz w:val="20"/>
                <w:szCs w:val="20"/>
              </w:rPr>
              <w:t>Oximetria de pulso e ECG.</w:t>
            </w:r>
          </w:p>
        </w:tc>
      </w:tr>
      <w:tr w:rsidR="00167A4F" w14:paraId="1A2D46B9" w14:textId="77777777" w:rsidTr="00167A4F">
        <w:trPr>
          <w:trHeight w:val="513"/>
        </w:trPr>
        <w:tc>
          <w:tcPr>
            <w:tcW w:w="4321" w:type="dxa"/>
          </w:tcPr>
          <w:p w14:paraId="2669CBCA" w14:textId="77777777" w:rsidR="00167A4F" w:rsidRDefault="00167A4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Manter vias aéreas</w:t>
            </w:r>
          </w:p>
        </w:tc>
        <w:tc>
          <w:tcPr>
            <w:tcW w:w="4321" w:type="dxa"/>
          </w:tcPr>
          <w:p w14:paraId="43BBC8A5" w14:textId="77777777" w:rsidR="00167A4F" w:rsidRPr="00560A95" w:rsidRDefault="00167A4F">
            <w:pPr>
              <w:rPr>
                <w:rFonts w:ascii="Arial" w:hAnsi="Arial" w:cs="Arial"/>
                <w:sz w:val="20"/>
                <w:szCs w:val="20"/>
              </w:rPr>
            </w:pPr>
            <w:r w:rsidRPr="00560A95">
              <w:rPr>
                <w:rFonts w:ascii="Arial" w:hAnsi="Arial" w:cs="Arial"/>
                <w:sz w:val="20"/>
                <w:szCs w:val="20"/>
              </w:rPr>
              <w:t>Abrir vias aéreas posicionando a cabeça;</w:t>
            </w:r>
          </w:p>
          <w:p w14:paraId="160D27A1" w14:textId="77777777" w:rsidR="00167A4F" w:rsidRPr="00560A95" w:rsidRDefault="00167A4F">
            <w:pPr>
              <w:rPr>
                <w:rFonts w:ascii="Arial" w:hAnsi="Arial" w:cs="Arial"/>
                <w:sz w:val="20"/>
                <w:szCs w:val="20"/>
              </w:rPr>
            </w:pPr>
            <w:r w:rsidRPr="00560A95">
              <w:rPr>
                <w:rFonts w:ascii="Arial" w:hAnsi="Arial" w:cs="Arial"/>
                <w:sz w:val="20"/>
                <w:szCs w:val="20"/>
              </w:rPr>
              <w:t>Aspirar secreções;</w:t>
            </w:r>
          </w:p>
          <w:p w14:paraId="11B5FC1F" w14:textId="77777777" w:rsidR="00167A4F" w:rsidRPr="00560A95" w:rsidRDefault="00167A4F">
            <w:pPr>
              <w:rPr>
                <w:rFonts w:ascii="Arial" w:hAnsi="Arial" w:cs="Arial"/>
                <w:sz w:val="20"/>
                <w:szCs w:val="20"/>
              </w:rPr>
            </w:pPr>
            <w:r w:rsidRPr="00560A95">
              <w:rPr>
                <w:rFonts w:ascii="Arial" w:hAnsi="Arial" w:cs="Arial"/>
                <w:sz w:val="20"/>
                <w:szCs w:val="20"/>
              </w:rPr>
              <w:t xml:space="preserve">Se possível, realizar </w:t>
            </w:r>
            <w:proofErr w:type="spellStart"/>
            <w:r w:rsidRPr="00560A95">
              <w:rPr>
                <w:rFonts w:ascii="Arial" w:hAnsi="Arial" w:cs="Arial"/>
                <w:sz w:val="20"/>
                <w:szCs w:val="20"/>
              </w:rPr>
              <w:t>pré</w:t>
            </w:r>
            <w:proofErr w:type="spellEnd"/>
            <w:r w:rsidRPr="00560A95">
              <w:rPr>
                <w:rFonts w:ascii="Arial" w:hAnsi="Arial" w:cs="Arial"/>
                <w:sz w:val="20"/>
                <w:szCs w:val="20"/>
              </w:rPr>
              <w:t xml:space="preserve">-oxigenação com máscara não </w:t>
            </w:r>
            <w:proofErr w:type="spellStart"/>
            <w:r w:rsidRPr="00560A95">
              <w:rPr>
                <w:rFonts w:ascii="Arial" w:hAnsi="Arial" w:cs="Arial"/>
                <w:sz w:val="20"/>
                <w:szCs w:val="20"/>
              </w:rPr>
              <w:t>reinalante</w:t>
            </w:r>
            <w:proofErr w:type="spellEnd"/>
            <w:r w:rsidRPr="00560A95">
              <w:rPr>
                <w:rFonts w:ascii="Arial" w:hAnsi="Arial" w:cs="Arial"/>
                <w:sz w:val="20"/>
                <w:szCs w:val="20"/>
              </w:rPr>
              <w:t xml:space="preserve"> ou ouro dispositivo de alto fluxo (</w:t>
            </w:r>
            <w:proofErr w:type="spellStart"/>
            <w:r w:rsidRPr="00560A95">
              <w:rPr>
                <w:rFonts w:ascii="Arial" w:hAnsi="Arial" w:cs="Arial"/>
                <w:sz w:val="20"/>
                <w:szCs w:val="20"/>
              </w:rPr>
              <w:t>ex</w:t>
            </w:r>
            <w:proofErr w:type="spellEnd"/>
            <w:r w:rsidRPr="00560A95">
              <w:rPr>
                <w:rFonts w:ascii="Arial" w:hAnsi="Arial" w:cs="Arial"/>
                <w:sz w:val="20"/>
                <w:szCs w:val="20"/>
              </w:rPr>
              <w:t>: HOOD em lactentes);</w:t>
            </w:r>
          </w:p>
          <w:p w14:paraId="0D95E052" w14:textId="77777777" w:rsidR="00167A4F" w:rsidRPr="00560A95" w:rsidRDefault="00167A4F">
            <w:pPr>
              <w:rPr>
                <w:rFonts w:ascii="Arial" w:hAnsi="Arial" w:cs="Arial"/>
                <w:sz w:val="20"/>
                <w:szCs w:val="20"/>
              </w:rPr>
            </w:pPr>
            <w:r w:rsidRPr="00560A95">
              <w:rPr>
                <w:rFonts w:ascii="Arial" w:hAnsi="Arial" w:cs="Arial"/>
                <w:sz w:val="20"/>
                <w:szCs w:val="20"/>
              </w:rPr>
              <w:t>Ventilar com máscara e unidade ventilatória conectada ao oxigênio se necessário (</w:t>
            </w:r>
            <w:proofErr w:type="spellStart"/>
            <w:r w:rsidRPr="00560A95">
              <w:rPr>
                <w:rFonts w:ascii="Arial" w:hAnsi="Arial" w:cs="Arial"/>
                <w:sz w:val="20"/>
                <w:szCs w:val="20"/>
              </w:rPr>
              <w:t>ex</w:t>
            </w:r>
            <w:proofErr w:type="spellEnd"/>
            <w:r w:rsidRPr="00560A95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Pr="00560A95">
              <w:rPr>
                <w:rFonts w:ascii="Arial" w:hAnsi="Arial" w:cs="Arial"/>
                <w:sz w:val="20"/>
                <w:szCs w:val="20"/>
              </w:rPr>
              <w:t>apnéia</w:t>
            </w:r>
            <w:proofErr w:type="spellEnd"/>
            <w:r w:rsidRPr="00560A95">
              <w:rPr>
                <w:rFonts w:ascii="Arial" w:hAnsi="Arial" w:cs="Arial"/>
                <w:sz w:val="20"/>
                <w:szCs w:val="20"/>
              </w:rPr>
              <w:t xml:space="preserve"> antes da administração de todas as medicações</w:t>
            </w:r>
            <w:r w:rsidR="00560A95" w:rsidRPr="00560A95">
              <w:rPr>
                <w:rFonts w:ascii="Arial" w:hAnsi="Arial" w:cs="Arial"/>
                <w:sz w:val="20"/>
                <w:szCs w:val="20"/>
              </w:rPr>
              <w:t>);</w:t>
            </w:r>
          </w:p>
          <w:p w14:paraId="49CB5FF6" w14:textId="77777777" w:rsidR="00560A95" w:rsidRDefault="00560A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60A95">
              <w:rPr>
                <w:rFonts w:ascii="Arial" w:hAnsi="Arial" w:cs="Arial"/>
                <w:sz w:val="20"/>
                <w:szCs w:val="20"/>
              </w:rPr>
              <w:t xml:space="preserve">Verificar expansibilidade torácica, ausculta e </w:t>
            </w:r>
            <w:proofErr w:type="spellStart"/>
            <w:r w:rsidRPr="00560A95">
              <w:rPr>
                <w:rFonts w:ascii="Arial" w:hAnsi="Arial" w:cs="Arial"/>
                <w:sz w:val="20"/>
                <w:szCs w:val="20"/>
              </w:rPr>
              <w:t>saturimetria</w:t>
            </w:r>
            <w:proofErr w:type="spellEnd"/>
            <w:r w:rsidRPr="00560A9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67A4F" w14:paraId="0FB56973" w14:textId="77777777" w:rsidTr="00167A4F">
        <w:trPr>
          <w:trHeight w:val="513"/>
        </w:trPr>
        <w:tc>
          <w:tcPr>
            <w:tcW w:w="4321" w:type="dxa"/>
          </w:tcPr>
          <w:p w14:paraId="55FEDF54" w14:textId="77777777" w:rsidR="00167A4F" w:rsidRDefault="00560A95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Pré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-medicação</w:t>
            </w:r>
          </w:p>
        </w:tc>
        <w:tc>
          <w:tcPr>
            <w:tcW w:w="4321" w:type="dxa"/>
          </w:tcPr>
          <w:p w14:paraId="2DCA753B" w14:textId="77777777" w:rsidR="00167A4F" w:rsidRPr="00560A95" w:rsidRDefault="00560A95">
            <w:pPr>
              <w:rPr>
                <w:rFonts w:ascii="Arial" w:hAnsi="Arial" w:cs="Arial"/>
                <w:sz w:val="20"/>
                <w:szCs w:val="20"/>
              </w:rPr>
            </w:pPr>
            <w:r w:rsidRPr="00560A95">
              <w:rPr>
                <w:rFonts w:ascii="Arial" w:hAnsi="Arial" w:cs="Arial"/>
                <w:b/>
                <w:sz w:val="20"/>
                <w:szCs w:val="20"/>
              </w:rPr>
              <w:t>Atropina</w:t>
            </w:r>
            <w:r>
              <w:rPr>
                <w:rFonts w:ascii="Arial" w:hAnsi="Arial" w:cs="Arial"/>
                <w:sz w:val="20"/>
                <w:szCs w:val="20"/>
              </w:rPr>
              <w:t xml:space="preserve"> (indicada </w:t>
            </w:r>
            <w:r w:rsidRPr="00560A95">
              <w:rPr>
                <w:rFonts w:ascii="Arial" w:hAnsi="Arial" w:cs="Arial"/>
                <w:sz w:val="20"/>
                <w:szCs w:val="20"/>
              </w:rPr>
              <w:t xml:space="preserve">para menores de um ano, indicada para pacientes entre 1-5 anos, quando se utiliza </w:t>
            </w:r>
            <w:proofErr w:type="spellStart"/>
            <w:r w:rsidRPr="00560A95">
              <w:rPr>
                <w:rFonts w:ascii="Arial" w:hAnsi="Arial" w:cs="Arial"/>
                <w:sz w:val="20"/>
                <w:szCs w:val="20"/>
              </w:rPr>
              <w:t>succinilcolina</w:t>
            </w:r>
            <w:proofErr w:type="spellEnd"/>
            <w:r w:rsidRPr="00560A95">
              <w:rPr>
                <w:rFonts w:ascii="Arial" w:hAnsi="Arial" w:cs="Arial"/>
                <w:sz w:val="20"/>
                <w:szCs w:val="20"/>
              </w:rPr>
              <w:t xml:space="preserve"> ou para crianças maiores quando se utiliza uma segunda dose de </w:t>
            </w:r>
            <w:proofErr w:type="spellStart"/>
            <w:r w:rsidRPr="00560A95">
              <w:rPr>
                <w:rFonts w:ascii="Arial" w:hAnsi="Arial" w:cs="Arial"/>
                <w:sz w:val="20"/>
                <w:szCs w:val="20"/>
              </w:rPr>
              <w:t>succinilcolina</w:t>
            </w:r>
            <w:proofErr w:type="spellEnd"/>
            <w:r w:rsidRPr="00560A95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560A9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60A95">
              <w:rPr>
                <w:rFonts w:ascii="Arial" w:hAnsi="Arial" w:cs="Arial"/>
                <w:sz w:val="20"/>
                <w:szCs w:val="20"/>
              </w:rPr>
              <w:t>Indicada também no choque séptico;</w:t>
            </w:r>
          </w:p>
          <w:p w14:paraId="4B00187F" w14:textId="77777777" w:rsidR="00560A95" w:rsidRPr="00560A95" w:rsidRDefault="00560A95">
            <w:pPr>
              <w:rPr>
                <w:rFonts w:ascii="Arial" w:hAnsi="Arial" w:cs="Arial"/>
                <w:sz w:val="20"/>
                <w:szCs w:val="20"/>
              </w:rPr>
            </w:pPr>
            <w:r w:rsidRPr="00560A95">
              <w:rPr>
                <w:rFonts w:ascii="Arial" w:hAnsi="Arial" w:cs="Arial"/>
                <w:sz w:val="20"/>
                <w:szCs w:val="20"/>
              </w:rPr>
              <w:t xml:space="preserve">Paciente hemodinamicamente estável: administrar </w:t>
            </w:r>
            <w:proofErr w:type="spellStart"/>
            <w:r w:rsidRPr="00560A95">
              <w:rPr>
                <w:rFonts w:ascii="Arial" w:hAnsi="Arial" w:cs="Arial"/>
                <w:b/>
                <w:sz w:val="20"/>
                <w:szCs w:val="20"/>
              </w:rPr>
              <w:t>Fentanil</w:t>
            </w:r>
            <w:proofErr w:type="spellEnd"/>
            <w:r w:rsidRPr="00560A95">
              <w:rPr>
                <w:rFonts w:ascii="Arial" w:hAnsi="Arial" w:cs="Arial"/>
                <w:sz w:val="20"/>
                <w:szCs w:val="20"/>
              </w:rPr>
              <w:t xml:space="preserve"> para analgesia (considere doses menores se instabilidade)</w:t>
            </w:r>
          </w:p>
          <w:p w14:paraId="5DB8A597" w14:textId="77777777" w:rsidR="00560A95" w:rsidRDefault="00560A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60A95">
              <w:rPr>
                <w:rFonts w:ascii="Arial" w:hAnsi="Arial" w:cs="Arial"/>
                <w:sz w:val="20"/>
                <w:szCs w:val="20"/>
              </w:rPr>
              <w:t xml:space="preserve">Administrar </w:t>
            </w:r>
            <w:r w:rsidRPr="00560A95">
              <w:rPr>
                <w:rFonts w:ascii="Arial" w:hAnsi="Arial" w:cs="Arial"/>
                <w:b/>
                <w:sz w:val="20"/>
                <w:szCs w:val="20"/>
              </w:rPr>
              <w:t>Lidocaína</w:t>
            </w:r>
            <w:r w:rsidRPr="00560A95">
              <w:rPr>
                <w:rFonts w:ascii="Arial" w:hAnsi="Arial" w:cs="Arial"/>
                <w:sz w:val="20"/>
                <w:szCs w:val="20"/>
              </w:rPr>
              <w:t xml:space="preserve"> para trauma craniano ou aumento da pressão intracraniana.</w:t>
            </w:r>
          </w:p>
        </w:tc>
      </w:tr>
      <w:tr w:rsidR="00167A4F" w14:paraId="2F37AD51" w14:textId="77777777" w:rsidTr="00167A4F">
        <w:trPr>
          <w:trHeight w:val="513"/>
        </w:trPr>
        <w:tc>
          <w:tcPr>
            <w:tcW w:w="4321" w:type="dxa"/>
          </w:tcPr>
          <w:p w14:paraId="3D9B2137" w14:textId="77777777" w:rsidR="00167A4F" w:rsidRDefault="00560A9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Sedativos</w:t>
            </w:r>
          </w:p>
        </w:tc>
        <w:tc>
          <w:tcPr>
            <w:tcW w:w="4321" w:type="dxa"/>
          </w:tcPr>
          <w:p w14:paraId="03561CEA" w14:textId="77777777" w:rsidR="00167A4F" w:rsidRPr="00CB7FEB" w:rsidRDefault="00560A95">
            <w:pPr>
              <w:rPr>
                <w:rFonts w:ascii="Arial" w:hAnsi="Arial" w:cs="Arial"/>
                <w:sz w:val="20"/>
                <w:szCs w:val="20"/>
              </w:rPr>
            </w:pPr>
            <w:r w:rsidRPr="00CB7FEB">
              <w:rPr>
                <w:rFonts w:ascii="Arial" w:hAnsi="Arial" w:cs="Arial"/>
                <w:b/>
                <w:sz w:val="20"/>
                <w:szCs w:val="20"/>
              </w:rPr>
              <w:t>Paciente normotenso:</w:t>
            </w:r>
            <w:r w:rsidRPr="00CB7FE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B7FEB">
              <w:rPr>
                <w:rFonts w:ascii="Arial" w:hAnsi="Arial" w:cs="Arial"/>
                <w:sz w:val="20"/>
                <w:szCs w:val="20"/>
              </w:rPr>
              <w:t>midazolam</w:t>
            </w:r>
            <w:proofErr w:type="spellEnd"/>
            <w:r w:rsidRPr="00CB7FEB">
              <w:rPr>
                <w:rFonts w:ascii="Arial" w:hAnsi="Arial" w:cs="Arial"/>
                <w:sz w:val="20"/>
                <w:szCs w:val="20"/>
              </w:rPr>
              <w:t xml:space="preserve"> ou </w:t>
            </w:r>
            <w:proofErr w:type="spellStart"/>
            <w:r w:rsidRPr="00CB7FEB">
              <w:rPr>
                <w:rFonts w:ascii="Arial" w:hAnsi="Arial" w:cs="Arial"/>
                <w:sz w:val="20"/>
                <w:szCs w:val="20"/>
              </w:rPr>
              <w:t>etomidato</w:t>
            </w:r>
            <w:proofErr w:type="spellEnd"/>
            <w:r w:rsidRPr="00CB7FEB">
              <w:rPr>
                <w:rFonts w:ascii="Arial" w:hAnsi="Arial" w:cs="Arial"/>
                <w:sz w:val="20"/>
                <w:szCs w:val="20"/>
              </w:rPr>
              <w:t xml:space="preserve"> ou </w:t>
            </w:r>
            <w:proofErr w:type="spellStart"/>
            <w:r w:rsidRPr="00CB7FEB">
              <w:rPr>
                <w:rFonts w:ascii="Arial" w:hAnsi="Arial" w:cs="Arial"/>
                <w:sz w:val="20"/>
                <w:szCs w:val="20"/>
              </w:rPr>
              <w:t>propofol</w:t>
            </w:r>
            <w:proofErr w:type="spellEnd"/>
            <w:r w:rsidRPr="00CB7FEB">
              <w:rPr>
                <w:rFonts w:ascii="Arial" w:hAnsi="Arial" w:cs="Arial"/>
                <w:sz w:val="20"/>
                <w:szCs w:val="20"/>
              </w:rPr>
              <w:t xml:space="preserve"> ou </w:t>
            </w:r>
            <w:proofErr w:type="spellStart"/>
            <w:r w:rsidRPr="00CB7FEB">
              <w:rPr>
                <w:rFonts w:ascii="Arial" w:hAnsi="Arial" w:cs="Arial"/>
                <w:sz w:val="20"/>
                <w:szCs w:val="20"/>
              </w:rPr>
              <w:t>tipental</w:t>
            </w:r>
            <w:proofErr w:type="spellEnd"/>
            <w:r w:rsidRPr="00CB7FEB">
              <w:rPr>
                <w:rFonts w:ascii="Arial" w:hAnsi="Arial" w:cs="Arial"/>
                <w:sz w:val="20"/>
                <w:szCs w:val="20"/>
              </w:rPr>
              <w:t xml:space="preserve"> ou </w:t>
            </w:r>
            <w:proofErr w:type="spellStart"/>
            <w:r w:rsidRPr="00CB7FEB">
              <w:rPr>
                <w:rFonts w:ascii="Arial" w:hAnsi="Arial" w:cs="Arial"/>
                <w:sz w:val="20"/>
                <w:szCs w:val="20"/>
              </w:rPr>
              <w:t>cetamina</w:t>
            </w:r>
            <w:proofErr w:type="spellEnd"/>
            <w:r w:rsidR="00BE3348" w:rsidRPr="00CB7FEB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199FFFFF" w14:textId="77777777" w:rsidR="00BE3348" w:rsidRPr="00CB7FEB" w:rsidRDefault="00BE3348">
            <w:pPr>
              <w:rPr>
                <w:rFonts w:ascii="Arial" w:hAnsi="Arial" w:cs="Arial"/>
                <w:sz w:val="20"/>
                <w:szCs w:val="20"/>
              </w:rPr>
            </w:pPr>
            <w:r w:rsidRPr="00CB7FEB">
              <w:rPr>
                <w:rFonts w:ascii="Arial" w:hAnsi="Arial" w:cs="Arial"/>
                <w:b/>
                <w:sz w:val="20"/>
                <w:szCs w:val="20"/>
              </w:rPr>
              <w:t>Paciente hipotenso ou hipovolêmico:</w:t>
            </w:r>
            <w:r w:rsidRPr="00CB7FE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B7FEB">
              <w:rPr>
                <w:rFonts w:ascii="Arial" w:hAnsi="Arial" w:cs="Arial"/>
                <w:sz w:val="20"/>
                <w:szCs w:val="20"/>
              </w:rPr>
              <w:t>Cetamina</w:t>
            </w:r>
            <w:proofErr w:type="spellEnd"/>
            <w:r w:rsidRPr="00CB7FEB">
              <w:rPr>
                <w:rFonts w:ascii="Arial" w:hAnsi="Arial" w:cs="Arial"/>
                <w:sz w:val="20"/>
                <w:szCs w:val="20"/>
              </w:rPr>
              <w:t xml:space="preserve"> (caso não disponível, utilizar o </w:t>
            </w:r>
            <w:proofErr w:type="spellStart"/>
            <w:r w:rsidRPr="00CB7FEB">
              <w:rPr>
                <w:rFonts w:ascii="Arial" w:hAnsi="Arial" w:cs="Arial"/>
                <w:sz w:val="20"/>
                <w:szCs w:val="20"/>
              </w:rPr>
              <w:t>Midazolam</w:t>
            </w:r>
            <w:proofErr w:type="spellEnd"/>
            <w:r w:rsidRPr="00CB7FEB">
              <w:rPr>
                <w:rFonts w:ascii="Arial" w:hAnsi="Arial" w:cs="Arial"/>
                <w:sz w:val="20"/>
                <w:szCs w:val="20"/>
              </w:rPr>
              <w:t xml:space="preserve"> em doses mais baixas);</w:t>
            </w:r>
          </w:p>
          <w:p w14:paraId="2A2C9BF3" w14:textId="77777777" w:rsidR="00CB7FEB" w:rsidRDefault="00BE33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B7FEB">
              <w:rPr>
                <w:rFonts w:ascii="Arial" w:hAnsi="Arial" w:cs="Arial"/>
                <w:b/>
                <w:sz w:val="20"/>
                <w:szCs w:val="20"/>
              </w:rPr>
              <w:t xml:space="preserve">Paciente com trauma de crânio ou estado epilético: </w:t>
            </w:r>
          </w:p>
          <w:p w14:paraId="0C67899B" w14:textId="77777777" w:rsidR="00BE3348" w:rsidRPr="00CB7FEB" w:rsidRDefault="00BE3348">
            <w:pPr>
              <w:rPr>
                <w:rFonts w:ascii="Arial" w:hAnsi="Arial" w:cs="Arial"/>
                <w:sz w:val="20"/>
                <w:szCs w:val="20"/>
              </w:rPr>
            </w:pPr>
            <w:r w:rsidRPr="00CB7FEB">
              <w:rPr>
                <w:rFonts w:ascii="Arial" w:hAnsi="Arial" w:cs="Arial"/>
                <w:b/>
                <w:sz w:val="20"/>
                <w:szCs w:val="20"/>
              </w:rPr>
              <w:t>normotenso</w:t>
            </w:r>
            <w:r w:rsidRPr="00CB7FEB">
              <w:rPr>
                <w:rFonts w:ascii="Arial" w:hAnsi="Arial" w:cs="Arial"/>
                <w:sz w:val="20"/>
                <w:szCs w:val="20"/>
              </w:rPr>
              <w:t xml:space="preserve">: tiopental ou </w:t>
            </w:r>
            <w:proofErr w:type="spellStart"/>
            <w:r w:rsidRPr="00CB7FEB">
              <w:rPr>
                <w:rFonts w:ascii="Arial" w:hAnsi="Arial" w:cs="Arial"/>
                <w:sz w:val="20"/>
                <w:szCs w:val="20"/>
              </w:rPr>
              <w:t>midazolam</w:t>
            </w:r>
            <w:proofErr w:type="spellEnd"/>
            <w:r w:rsidRPr="00CB7FEB">
              <w:rPr>
                <w:rFonts w:ascii="Arial" w:hAnsi="Arial" w:cs="Arial"/>
                <w:sz w:val="20"/>
                <w:szCs w:val="20"/>
              </w:rPr>
              <w:t xml:space="preserve"> ou </w:t>
            </w:r>
            <w:proofErr w:type="spellStart"/>
            <w:r w:rsidRPr="00CB7FEB">
              <w:rPr>
                <w:rFonts w:ascii="Arial" w:hAnsi="Arial" w:cs="Arial"/>
                <w:sz w:val="20"/>
                <w:szCs w:val="20"/>
              </w:rPr>
              <w:t>propofol</w:t>
            </w:r>
            <w:proofErr w:type="spellEnd"/>
            <w:r w:rsidRPr="00CB7FEB">
              <w:rPr>
                <w:rFonts w:ascii="Arial" w:hAnsi="Arial" w:cs="Arial"/>
                <w:sz w:val="20"/>
                <w:szCs w:val="20"/>
              </w:rPr>
              <w:t xml:space="preserve"> ou </w:t>
            </w:r>
            <w:proofErr w:type="spellStart"/>
            <w:r w:rsidRPr="00CB7FEB">
              <w:rPr>
                <w:rFonts w:ascii="Arial" w:hAnsi="Arial" w:cs="Arial"/>
                <w:sz w:val="20"/>
                <w:szCs w:val="20"/>
              </w:rPr>
              <w:t>etomidato</w:t>
            </w:r>
            <w:proofErr w:type="spellEnd"/>
            <w:r w:rsidRPr="00CB7FEB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CB7FEB">
              <w:rPr>
                <w:rFonts w:ascii="Arial" w:hAnsi="Arial" w:cs="Arial"/>
                <w:b/>
                <w:sz w:val="20"/>
                <w:szCs w:val="20"/>
              </w:rPr>
              <w:t>Hipotenso:</w:t>
            </w:r>
            <w:r w:rsidRPr="00CB7FE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B7FEB">
              <w:rPr>
                <w:rFonts w:ascii="Arial" w:hAnsi="Arial" w:cs="Arial"/>
                <w:sz w:val="20"/>
                <w:szCs w:val="20"/>
              </w:rPr>
              <w:t>etomidato</w:t>
            </w:r>
            <w:proofErr w:type="spellEnd"/>
            <w:r w:rsidRPr="00CB7FEB">
              <w:rPr>
                <w:rFonts w:ascii="Arial" w:hAnsi="Arial" w:cs="Arial"/>
                <w:sz w:val="20"/>
                <w:szCs w:val="20"/>
              </w:rPr>
              <w:t xml:space="preserve"> ou </w:t>
            </w:r>
            <w:proofErr w:type="spellStart"/>
            <w:r w:rsidRPr="00CB7FEB">
              <w:rPr>
                <w:rFonts w:ascii="Arial" w:hAnsi="Arial" w:cs="Arial"/>
                <w:sz w:val="20"/>
                <w:szCs w:val="20"/>
              </w:rPr>
              <w:t>midazolam</w:t>
            </w:r>
            <w:proofErr w:type="spellEnd"/>
            <w:r w:rsidRPr="00CB7FEB">
              <w:rPr>
                <w:rFonts w:ascii="Arial" w:hAnsi="Arial" w:cs="Arial"/>
                <w:sz w:val="20"/>
                <w:szCs w:val="20"/>
              </w:rPr>
              <w:t xml:space="preserve"> em doses mais baixas</w:t>
            </w:r>
            <w:r w:rsidR="00CB7FEB" w:rsidRPr="00CB7FEB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7B16A7FE" w14:textId="77777777" w:rsidR="00CB7FEB" w:rsidRDefault="00CB7FEB" w:rsidP="00CB7F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B7FEB">
              <w:rPr>
                <w:rFonts w:ascii="Arial" w:hAnsi="Arial" w:cs="Arial"/>
                <w:b/>
                <w:sz w:val="20"/>
                <w:szCs w:val="20"/>
              </w:rPr>
              <w:t>Pacientes com asma grave:</w:t>
            </w:r>
            <w:r w:rsidRPr="00CB7FE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B7FEB">
              <w:rPr>
                <w:rFonts w:ascii="Arial" w:hAnsi="Arial" w:cs="Arial"/>
                <w:sz w:val="20"/>
                <w:szCs w:val="20"/>
              </w:rPr>
              <w:t>Cetamina</w:t>
            </w:r>
            <w:proofErr w:type="spellEnd"/>
            <w:r w:rsidRPr="00CB7FEB">
              <w:rPr>
                <w:rFonts w:ascii="Arial" w:hAnsi="Arial" w:cs="Arial"/>
                <w:sz w:val="20"/>
                <w:szCs w:val="20"/>
              </w:rPr>
              <w:t xml:space="preserve"> como primeira opção, </w:t>
            </w:r>
            <w:proofErr w:type="spellStart"/>
            <w:r w:rsidRPr="00CB7FEB">
              <w:rPr>
                <w:rFonts w:ascii="Arial" w:hAnsi="Arial" w:cs="Arial"/>
                <w:sz w:val="20"/>
                <w:szCs w:val="20"/>
              </w:rPr>
              <w:t>midazolam</w:t>
            </w:r>
            <w:proofErr w:type="spellEnd"/>
            <w:r w:rsidRPr="00CB7FEB">
              <w:rPr>
                <w:rFonts w:ascii="Arial" w:hAnsi="Arial" w:cs="Arial"/>
                <w:sz w:val="20"/>
                <w:szCs w:val="20"/>
              </w:rPr>
              <w:t xml:space="preserve"> e os demais são opção.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167A4F" w14:paraId="575C12F7" w14:textId="77777777" w:rsidTr="00167A4F">
        <w:trPr>
          <w:trHeight w:val="513"/>
        </w:trPr>
        <w:tc>
          <w:tcPr>
            <w:tcW w:w="4321" w:type="dxa"/>
          </w:tcPr>
          <w:p w14:paraId="0600C197" w14:textId="77777777" w:rsidR="00167A4F" w:rsidRDefault="00CB7FE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Bloquador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neuromuscular</w:t>
            </w:r>
          </w:p>
        </w:tc>
        <w:tc>
          <w:tcPr>
            <w:tcW w:w="4321" w:type="dxa"/>
          </w:tcPr>
          <w:p w14:paraId="660F6411" w14:textId="77777777" w:rsidR="00167A4F" w:rsidRPr="00CB7FEB" w:rsidRDefault="00CB7FEB">
            <w:pPr>
              <w:rPr>
                <w:rFonts w:ascii="Arial" w:hAnsi="Arial" w:cs="Arial"/>
                <w:sz w:val="20"/>
                <w:szCs w:val="20"/>
              </w:rPr>
            </w:pPr>
            <w:r w:rsidRPr="00CB7FEB">
              <w:rPr>
                <w:rFonts w:ascii="Arial" w:hAnsi="Arial" w:cs="Arial"/>
                <w:sz w:val="20"/>
                <w:szCs w:val="20"/>
              </w:rPr>
              <w:t xml:space="preserve">Preferencialmente </w:t>
            </w:r>
            <w:proofErr w:type="spellStart"/>
            <w:r w:rsidRPr="00CB7FEB">
              <w:rPr>
                <w:rFonts w:ascii="Arial" w:hAnsi="Arial" w:cs="Arial"/>
                <w:sz w:val="20"/>
                <w:szCs w:val="20"/>
              </w:rPr>
              <w:t>Rocurônio</w:t>
            </w:r>
            <w:proofErr w:type="spellEnd"/>
            <w:r w:rsidRPr="00CB7FEB">
              <w:rPr>
                <w:rFonts w:ascii="Arial" w:hAnsi="Arial" w:cs="Arial"/>
                <w:sz w:val="20"/>
                <w:szCs w:val="20"/>
              </w:rPr>
              <w:t xml:space="preserve">, podem ser utilizados </w:t>
            </w:r>
            <w:proofErr w:type="spellStart"/>
            <w:r w:rsidRPr="00CB7FEB">
              <w:rPr>
                <w:rFonts w:ascii="Arial" w:hAnsi="Arial" w:cs="Arial"/>
                <w:sz w:val="20"/>
                <w:szCs w:val="20"/>
              </w:rPr>
              <w:t>Pancurônio</w:t>
            </w:r>
            <w:proofErr w:type="spellEnd"/>
            <w:r w:rsidRPr="00CB7FEB">
              <w:rPr>
                <w:rFonts w:ascii="Arial" w:hAnsi="Arial" w:cs="Arial"/>
                <w:sz w:val="20"/>
                <w:szCs w:val="20"/>
              </w:rPr>
              <w:t xml:space="preserve"> e </w:t>
            </w:r>
            <w:proofErr w:type="spellStart"/>
            <w:r w:rsidRPr="00CB7FEB">
              <w:rPr>
                <w:rFonts w:ascii="Arial" w:hAnsi="Arial" w:cs="Arial"/>
                <w:sz w:val="20"/>
                <w:szCs w:val="20"/>
              </w:rPr>
              <w:t>Vecurônio</w:t>
            </w:r>
            <w:proofErr w:type="spellEnd"/>
          </w:p>
          <w:p w14:paraId="777ED270" w14:textId="77777777" w:rsidR="00CB7FEB" w:rsidRDefault="00CB7F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B7FEB">
              <w:rPr>
                <w:rFonts w:ascii="Arial" w:hAnsi="Arial" w:cs="Arial"/>
                <w:sz w:val="20"/>
                <w:szCs w:val="20"/>
              </w:rPr>
              <w:t xml:space="preserve">Outra opção: </w:t>
            </w:r>
            <w:proofErr w:type="spellStart"/>
            <w:r w:rsidRPr="00CB7FEB">
              <w:rPr>
                <w:rFonts w:ascii="Arial" w:hAnsi="Arial" w:cs="Arial"/>
                <w:sz w:val="20"/>
                <w:szCs w:val="20"/>
              </w:rPr>
              <w:t>succinilcolina</w:t>
            </w:r>
            <w:proofErr w:type="spellEnd"/>
          </w:p>
        </w:tc>
      </w:tr>
      <w:tr w:rsidR="00167A4F" w14:paraId="3D23DD1A" w14:textId="77777777" w:rsidTr="00167A4F">
        <w:trPr>
          <w:trHeight w:val="513"/>
        </w:trPr>
        <w:tc>
          <w:tcPr>
            <w:tcW w:w="4321" w:type="dxa"/>
          </w:tcPr>
          <w:p w14:paraId="02506660" w14:textId="77777777" w:rsidR="00167A4F" w:rsidRDefault="00CB7FE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Procedimento de intubação</w:t>
            </w:r>
          </w:p>
        </w:tc>
        <w:tc>
          <w:tcPr>
            <w:tcW w:w="4321" w:type="dxa"/>
          </w:tcPr>
          <w:p w14:paraId="61741FC7" w14:textId="77777777" w:rsidR="000A354E" w:rsidRPr="00911823" w:rsidRDefault="00CB7FEB">
            <w:pPr>
              <w:rPr>
                <w:rFonts w:ascii="Arial" w:hAnsi="Arial" w:cs="Arial"/>
                <w:sz w:val="20"/>
                <w:szCs w:val="20"/>
              </w:rPr>
            </w:pPr>
            <w:r w:rsidRPr="00911823">
              <w:rPr>
                <w:rFonts w:ascii="Arial" w:hAnsi="Arial" w:cs="Arial"/>
                <w:sz w:val="20"/>
                <w:szCs w:val="20"/>
              </w:rPr>
              <w:t>Posicionar o paciente em decúbito dorsal com elevação da cabeça até 5 cm com coxim em crianças maiores e adultos; em crianças menores de três anos deve-se utilizar o coxim sob os ombros. A posição ideal é aquela em que o meato acústico se alinha com esterno; Fazer a laringoscopia direta</w:t>
            </w:r>
            <w:r w:rsidR="000A354E" w:rsidRPr="00911823">
              <w:rPr>
                <w:rFonts w:ascii="Arial" w:hAnsi="Arial" w:cs="Arial"/>
                <w:sz w:val="20"/>
                <w:szCs w:val="20"/>
              </w:rPr>
              <w:t>: a mão direita faz a extensão da cabeça nos casos sem história suspeita de trauma da coluna vertebral; Segurar o laringoscópio com a mão esquerda, empurrando a língua para a esquerda e introduzindo a lâmina em direção à linha média da base da língua. O cabo do laringoscópio é deslocado para frente e para cima, em um ângulo de 45º. Aspirar as secreções das vias aéreas, se presentes. Introduzir o tubo entre as cordas vocais, se necessário utilizar fio-guia;</w:t>
            </w:r>
          </w:p>
          <w:p w14:paraId="3EF40A42" w14:textId="77777777" w:rsidR="000A354E" w:rsidRPr="00911823" w:rsidRDefault="000A354E">
            <w:pPr>
              <w:rPr>
                <w:rFonts w:ascii="Arial" w:hAnsi="Arial" w:cs="Arial"/>
                <w:sz w:val="20"/>
                <w:szCs w:val="20"/>
              </w:rPr>
            </w:pPr>
            <w:r w:rsidRPr="00911823">
              <w:rPr>
                <w:rFonts w:ascii="Arial" w:hAnsi="Arial" w:cs="Arial"/>
                <w:sz w:val="20"/>
                <w:szCs w:val="20"/>
              </w:rPr>
              <w:t>Ventilar com unidade ventilatória;</w:t>
            </w:r>
          </w:p>
          <w:p w14:paraId="333A6536" w14:textId="77777777" w:rsidR="000A354E" w:rsidRDefault="000A354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11823">
              <w:rPr>
                <w:rFonts w:ascii="Arial" w:hAnsi="Arial" w:cs="Arial"/>
                <w:sz w:val="20"/>
                <w:szCs w:val="20"/>
              </w:rPr>
              <w:t>O procedimento deve durar no m</w:t>
            </w:r>
            <w:r w:rsidR="00911823" w:rsidRPr="00911823">
              <w:rPr>
                <w:rFonts w:ascii="Arial" w:hAnsi="Arial" w:cs="Arial"/>
                <w:sz w:val="20"/>
                <w:szCs w:val="20"/>
              </w:rPr>
              <w:t>áximo 30 segundos ou tempo menor, caso haja</w:t>
            </w:r>
            <w:r w:rsidR="0091182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11823" w:rsidRPr="00911823">
              <w:rPr>
                <w:rFonts w:ascii="Arial" w:hAnsi="Arial" w:cs="Arial"/>
                <w:sz w:val="20"/>
                <w:szCs w:val="20"/>
              </w:rPr>
              <w:t>queda da saturação ou da frequência cardíaca.</w:t>
            </w:r>
          </w:p>
          <w:p w14:paraId="62499D49" w14:textId="77777777" w:rsidR="00167A4F" w:rsidRDefault="000A354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167A4F" w14:paraId="0F342B04" w14:textId="77777777" w:rsidTr="00167A4F">
        <w:trPr>
          <w:trHeight w:val="513"/>
        </w:trPr>
        <w:tc>
          <w:tcPr>
            <w:tcW w:w="4321" w:type="dxa"/>
          </w:tcPr>
          <w:p w14:paraId="23E5F149" w14:textId="77777777" w:rsidR="00167A4F" w:rsidRDefault="0091182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Checagem</w:t>
            </w:r>
          </w:p>
        </w:tc>
        <w:tc>
          <w:tcPr>
            <w:tcW w:w="4321" w:type="dxa"/>
          </w:tcPr>
          <w:p w14:paraId="476631E5" w14:textId="77777777" w:rsidR="00167A4F" w:rsidRPr="00911823" w:rsidRDefault="00911823">
            <w:pPr>
              <w:rPr>
                <w:rFonts w:ascii="Arial" w:hAnsi="Arial" w:cs="Arial"/>
                <w:sz w:val="20"/>
                <w:szCs w:val="20"/>
              </w:rPr>
            </w:pPr>
            <w:r w:rsidRPr="00911823">
              <w:rPr>
                <w:rFonts w:ascii="Arial" w:hAnsi="Arial" w:cs="Arial"/>
                <w:sz w:val="20"/>
                <w:szCs w:val="20"/>
              </w:rPr>
              <w:t xml:space="preserve">Checar se a posição do tubo está adequada: inspeção, ausculta, ventilação, elevação da frequência cardíaca e </w:t>
            </w:r>
            <w:proofErr w:type="spellStart"/>
            <w:r w:rsidRPr="00911823">
              <w:rPr>
                <w:rFonts w:ascii="Arial" w:hAnsi="Arial" w:cs="Arial"/>
                <w:sz w:val="20"/>
                <w:szCs w:val="20"/>
              </w:rPr>
              <w:t>saturimetria</w:t>
            </w:r>
            <w:proofErr w:type="spellEnd"/>
            <w:r w:rsidRPr="00911823">
              <w:rPr>
                <w:rFonts w:ascii="Arial" w:hAnsi="Arial" w:cs="Arial"/>
                <w:sz w:val="20"/>
                <w:szCs w:val="20"/>
              </w:rPr>
              <w:t>. Se possível radiografia.</w:t>
            </w:r>
          </w:p>
          <w:p w14:paraId="3694F6C2" w14:textId="77777777" w:rsidR="00911823" w:rsidRPr="00911823" w:rsidRDefault="00911823">
            <w:pPr>
              <w:rPr>
                <w:rFonts w:ascii="Arial" w:hAnsi="Arial" w:cs="Arial"/>
                <w:sz w:val="20"/>
                <w:szCs w:val="20"/>
              </w:rPr>
            </w:pPr>
            <w:r w:rsidRPr="00911823">
              <w:rPr>
                <w:rFonts w:ascii="Arial" w:hAnsi="Arial" w:cs="Arial"/>
                <w:sz w:val="20"/>
                <w:szCs w:val="20"/>
              </w:rPr>
              <w:t xml:space="preserve">Fixar de forma adequada o tubo e anotar no prontuário o número do tubo utilizado, a posição afixada e como transcorreu o procedimento; </w:t>
            </w:r>
          </w:p>
          <w:p w14:paraId="0BCB3EC8" w14:textId="77777777" w:rsidR="00911823" w:rsidRDefault="0091182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11823">
              <w:rPr>
                <w:rFonts w:ascii="Arial" w:hAnsi="Arial" w:cs="Arial"/>
                <w:sz w:val="20"/>
                <w:szCs w:val="20"/>
              </w:rPr>
              <w:t>Fornecer suporte ventilatório ao paciente</w:t>
            </w:r>
          </w:p>
        </w:tc>
      </w:tr>
    </w:tbl>
    <w:p w14:paraId="5F63004F" w14:textId="77777777" w:rsidR="00167A4F" w:rsidRDefault="00167A4F">
      <w:pPr>
        <w:rPr>
          <w:rFonts w:ascii="Arial" w:hAnsi="Arial" w:cs="Arial"/>
          <w:b/>
          <w:sz w:val="20"/>
          <w:szCs w:val="20"/>
        </w:rPr>
      </w:pPr>
    </w:p>
    <w:p w14:paraId="740FB7F4" w14:textId="77777777" w:rsidR="00167A4F" w:rsidRPr="00780478" w:rsidRDefault="00167A4F">
      <w:pPr>
        <w:rPr>
          <w:rFonts w:ascii="Arial" w:hAnsi="Arial" w:cs="Arial"/>
          <w:b/>
          <w:sz w:val="20"/>
          <w:szCs w:val="20"/>
        </w:rPr>
      </w:pPr>
    </w:p>
    <w:p w14:paraId="1A110301" w14:textId="77777777" w:rsidR="00780478" w:rsidRPr="00CB7FEB" w:rsidRDefault="003D5C52">
      <w:pPr>
        <w:rPr>
          <w:rFonts w:ascii="Arial" w:hAnsi="Arial" w:cs="Arial"/>
          <w:b/>
          <w:sz w:val="20"/>
          <w:szCs w:val="20"/>
        </w:rPr>
      </w:pPr>
      <w:r w:rsidRPr="00560A95">
        <w:rPr>
          <w:rFonts w:ascii="Arial" w:hAnsi="Arial" w:cs="Arial"/>
          <w:b/>
          <w:sz w:val="20"/>
          <w:szCs w:val="20"/>
        </w:rPr>
        <w:t>Referênci</w:t>
      </w:r>
      <w:r w:rsidRPr="00CB7FEB">
        <w:rPr>
          <w:rFonts w:ascii="Arial" w:hAnsi="Arial" w:cs="Arial"/>
          <w:b/>
          <w:sz w:val="20"/>
          <w:szCs w:val="20"/>
        </w:rPr>
        <w:t xml:space="preserve">as </w:t>
      </w:r>
    </w:p>
    <w:p w14:paraId="19ACFE7B" w14:textId="77777777" w:rsidR="00780478" w:rsidRPr="00780478" w:rsidRDefault="003D5C52">
      <w:pPr>
        <w:rPr>
          <w:rFonts w:ascii="Arial" w:hAnsi="Arial" w:cs="Arial"/>
          <w:sz w:val="20"/>
          <w:szCs w:val="20"/>
        </w:rPr>
      </w:pPr>
      <w:r w:rsidRPr="00CB7FEB">
        <w:rPr>
          <w:rFonts w:ascii="Arial" w:hAnsi="Arial" w:cs="Arial"/>
          <w:sz w:val="20"/>
          <w:szCs w:val="20"/>
        </w:rPr>
        <w:t xml:space="preserve">1. Reynolds SF, </w:t>
      </w:r>
      <w:proofErr w:type="spellStart"/>
      <w:r w:rsidRPr="00CB7FEB">
        <w:rPr>
          <w:rFonts w:ascii="Arial" w:hAnsi="Arial" w:cs="Arial"/>
          <w:sz w:val="20"/>
          <w:szCs w:val="20"/>
        </w:rPr>
        <w:t>Heffner</w:t>
      </w:r>
      <w:proofErr w:type="spellEnd"/>
      <w:r w:rsidRPr="00CB7FEB">
        <w:rPr>
          <w:rFonts w:ascii="Arial" w:hAnsi="Arial" w:cs="Arial"/>
          <w:sz w:val="20"/>
          <w:szCs w:val="20"/>
        </w:rPr>
        <w:t xml:space="preserve"> J. </w:t>
      </w:r>
      <w:proofErr w:type="spellStart"/>
      <w:r w:rsidRPr="00CB7FEB">
        <w:rPr>
          <w:rFonts w:ascii="Arial" w:hAnsi="Arial" w:cs="Arial"/>
          <w:sz w:val="20"/>
          <w:szCs w:val="20"/>
        </w:rPr>
        <w:t>Airway</w:t>
      </w:r>
      <w:proofErr w:type="spellEnd"/>
      <w:r w:rsidRPr="00CB7FEB">
        <w:rPr>
          <w:rFonts w:ascii="Arial" w:hAnsi="Arial" w:cs="Arial"/>
          <w:sz w:val="20"/>
          <w:szCs w:val="20"/>
        </w:rPr>
        <w:t xml:space="preserve"> management </w:t>
      </w:r>
      <w:proofErr w:type="spellStart"/>
      <w:r w:rsidRPr="00CB7FEB">
        <w:rPr>
          <w:rFonts w:ascii="Arial" w:hAnsi="Arial" w:cs="Arial"/>
          <w:sz w:val="20"/>
          <w:szCs w:val="20"/>
        </w:rPr>
        <w:t>of</w:t>
      </w:r>
      <w:proofErr w:type="spellEnd"/>
      <w:r w:rsidRPr="00CB7F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B7FEB">
        <w:rPr>
          <w:rFonts w:ascii="Arial" w:hAnsi="Arial" w:cs="Arial"/>
          <w:sz w:val="20"/>
          <w:szCs w:val="20"/>
        </w:rPr>
        <w:t>the</w:t>
      </w:r>
      <w:proofErr w:type="spellEnd"/>
      <w:r w:rsidRPr="00CB7F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B7FEB">
        <w:rPr>
          <w:rFonts w:ascii="Arial" w:hAnsi="Arial" w:cs="Arial"/>
          <w:sz w:val="20"/>
          <w:szCs w:val="20"/>
        </w:rPr>
        <w:t>critically</w:t>
      </w:r>
      <w:proofErr w:type="spellEnd"/>
      <w:r w:rsidRPr="00CB7F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B7FEB">
        <w:rPr>
          <w:rFonts w:ascii="Arial" w:hAnsi="Arial" w:cs="Arial"/>
          <w:sz w:val="20"/>
          <w:szCs w:val="20"/>
        </w:rPr>
        <w:t>ill</w:t>
      </w:r>
      <w:proofErr w:type="spellEnd"/>
      <w:r w:rsidRPr="00CB7F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B7FEB">
        <w:rPr>
          <w:rFonts w:ascii="Arial" w:hAnsi="Arial" w:cs="Arial"/>
          <w:sz w:val="20"/>
          <w:szCs w:val="20"/>
        </w:rPr>
        <w:t>patient</w:t>
      </w:r>
      <w:proofErr w:type="spellEnd"/>
      <w:r w:rsidRPr="00CB7FEB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CB7FEB">
        <w:rPr>
          <w:rFonts w:ascii="Arial" w:hAnsi="Arial" w:cs="Arial"/>
          <w:sz w:val="20"/>
          <w:szCs w:val="20"/>
        </w:rPr>
        <w:t>rapid-sequence</w:t>
      </w:r>
      <w:proofErr w:type="spellEnd"/>
      <w:r w:rsidRPr="00CB7F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B7FEB">
        <w:rPr>
          <w:rFonts w:ascii="Arial" w:hAnsi="Arial" w:cs="Arial"/>
          <w:sz w:val="20"/>
          <w:szCs w:val="20"/>
        </w:rPr>
        <w:t>intubation</w:t>
      </w:r>
      <w:proofErr w:type="spellEnd"/>
      <w:r w:rsidRPr="00CB7FEB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780478">
        <w:rPr>
          <w:rFonts w:ascii="Arial" w:hAnsi="Arial" w:cs="Arial"/>
          <w:sz w:val="20"/>
          <w:szCs w:val="20"/>
        </w:rPr>
        <w:t>Chest</w:t>
      </w:r>
      <w:proofErr w:type="spellEnd"/>
      <w:r w:rsidRPr="00780478">
        <w:rPr>
          <w:rFonts w:ascii="Arial" w:hAnsi="Arial" w:cs="Arial"/>
          <w:sz w:val="20"/>
          <w:szCs w:val="20"/>
        </w:rPr>
        <w:t xml:space="preserve">. 2005; 127:1397-412. </w:t>
      </w:r>
    </w:p>
    <w:p w14:paraId="1CAB623E" w14:textId="77777777" w:rsidR="00780478" w:rsidRPr="00CC61BE" w:rsidRDefault="003D5C52">
      <w:pPr>
        <w:rPr>
          <w:rFonts w:ascii="Arial" w:hAnsi="Arial" w:cs="Arial"/>
          <w:sz w:val="20"/>
          <w:szCs w:val="20"/>
          <w:lang w:val="en-US"/>
        </w:rPr>
      </w:pPr>
      <w:r w:rsidRPr="00CC61BE">
        <w:rPr>
          <w:rFonts w:ascii="Arial" w:hAnsi="Arial" w:cs="Arial"/>
          <w:sz w:val="20"/>
          <w:szCs w:val="20"/>
          <w:lang w:val="en-US"/>
        </w:rPr>
        <w:t xml:space="preserve">2. </w:t>
      </w:r>
      <w:proofErr w:type="spellStart"/>
      <w:r w:rsidRPr="00CC61BE">
        <w:rPr>
          <w:rFonts w:ascii="Arial" w:hAnsi="Arial" w:cs="Arial"/>
          <w:sz w:val="20"/>
          <w:szCs w:val="20"/>
          <w:lang w:val="en-US"/>
        </w:rPr>
        <w:t>Zelicof</w:t>
      </w:r>
      <w:proofErr w:type="spellEnd"/>
      <w:r w:rsidRPr="00CC61BE">
        <w:rPr>
          <w:rFonts w:ascii="Arial" w:hAnsi="Arial" w:cs="Arial"/>
          <w:sz w:val="20"/>
          <w:szCs w:val="20"/>
          <w:lang w:val="en-US"/>
        </w:rPr>
        <w:t xml:space="preserve">-Paul A, Smith-Lockridge A, </w:t>
      </w:r>
      <w:proofErr w:type="spellStart"/>
      <w:r w:rsidRPr="00CC61BE">
        <w:rPr>
          <w:rFonts w:ascii="Arial" w:hAnsi="Arial" w:cs="Arial"/>
          <w:sz w:val="20"/>
          <w:szCs w:val="20"/>
          <w:lang w:val="en-US"/>
        </w:rPr>
        <w:t>Schnadowera</w:t>
      </w:r>
      <w:proofErr w:type="spellEnd"/>
      <w:r w:rsidRPr="00CC61BE">
        <w:rPr>
          <w:rFonts w:ascii="Arial" w:hAnsi="Arial" w:cs="Arial"/>
          <w:sz w:val="20"/>
          <w:szCs w:val="20"/>
          <w:lang w:val="en-US"/>
        </w:rPr>
        <w:t xml:space="preserve"> D, Tyler S, Levin S, </w:t>
      </w:r>
      <w:proofErr w:type="spellStart"/>
      <w:r w:rsidRPr="00CC61BE">
        <w:rPr>
          <w:rFonts w:ascii="Arial" w:hAnsi="Arial" w:cs="Arial"/>
          <w:sz w:val="20"/>
          <w:szCs w:val="20"/>
          <w:lang w:val="en-US"/>
        </w:rPr>
        <w:t>Roskind</w:t>
      </w:r>
      <w:proofErr w:type="spellEnd"/>
      <w:r w:rsidRPr="00CC61BE">
        <w:rPr>
          <w:rFonts w:ascii="Arial" w:hAnsi="Arial" w:cs="Arial"/>
          <w:sz w:val="20"/>
          <w:szCs w:val="20"/>
          <w:lang w:val="en-US"/>
        </w:rPr>
        <w:t xml:space="preserve"> C, Dayan P. Controversies in rapid sequence intubation in children. </w:t>
      </w:r>
      <w:proofErr w:type="spellStart"/>
      <w:r w:rsidRPr="00CC61BE">
        <w:rPr>
          <w:rFonts w:ascii="Arial" w:hAnsi="Arial" w:cs="Arial"/>
          <w:sz w:val="20"/>
          <w:szCs w:val="20"/>
          <w:lang w:val="en-US"/>
        </w:rPr>
        <w:t>Curr</w:t>
      </w:r>
      <w:proofErr w:type="spellEnd"/>
      <w:r w:rsidRPr="00CC61B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C61BE">
        <w:rPr>
          <w:rFonts w:ascii="Arial" w:hAnsi="Arial" w:cs="Arial"/>
          <w:sz w:val="20"/>
          <w:szCs w:val="20"/>
          <w:lang w:val="en-US"/>
        </w:rPr>
        <w:t>Opin</w:t>
      </w:r>
      <w:proofErr w:type="spellEnd"/>
      <w:r w:rsidRPr="00CC61B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C61BE">
        <w:rPr>
          <w:rFonts w:ascii="Arial" w:hAnsi="Arial" w:cs="Arial"/>
          <w:sz w:val="20"/>
          <w:szCs w:val="20"/>
          <w:lang w:val="en-US"/>
        </w:rPr>
        <w:t>Pediatr</w:t>
      </w:r>
      <w:proofErr w:type="spellEnd"/>
      <w:r w:rsidRPr="00CC61BE">
        <w:rPr>
          <w:rFonts w:ascii="Arial" w:hAnsi="Arial" w:cs="Arial"/>
          <w:sz w:val="20"/>
          <w:szCs w:val="20"/>
          <w:lang w:val="en-US"/>
        </w:rPr>
        <w:t xml:space="preserve">. 2005, 17:355-62. </w:t>
      </w:r>
    </w:p>
    <w:p w14:paraId="75E4A8C8" w14:textId="77777777" w:rsidR="00780478" w:rsidRPr="00CC61BE" w:rsidRDefault="003D5C52">
      <w:pPr>
        <w:rPr>
          <w:rFonts w:ascii="Arial" w:hAnsi="Arial" w:cs="Arial"/>
          <w:sz w:val="20"/>
          <w:szCs w:val="20"/>
          <w:lang w:val="en-US"/>
        </w:rPr>
      </w:pPr>
      <w:r w:rsidRPr="00CC61BE">
        <w:rPr>
          <w:rFonts w:ascii="Arial" w:hAnsi="Arial" w:cs="Arial"/>
          <w:sz w:val="20"/>
          <w:szCs w:val="20"/>
          <w:lang w:val="en-US"/>
        </w:rPr>
        <w:t xml:space="preserve">3. Mace SE. Challenges and </w:t>
      </w:r>
      <w:proofErr w:type="spellStart"/>
      <w:r w:rsidRPr="00CC61BE">
        <w:rPr>
          <w:rFonts w:ascii="Arial" w:hAnsi="Arial" w:cs="Arial"/>
          <w:sz w:val="20"/>
          <w:szCs w:val="20"/>
          <w:lang w:val="en-US"/>
        </w:rPr>
        <w:t>Avances</w:t>
      </w:r>
      <w:proofErr w:type="spellEnd"/>
      <w:r w:rsidRPr="00CC61BE">
        <w:rPr>
          <w:rFonts w:ascii="Arial" w:hAnsi="Arial" w:cs="Arial"/>
          <w:sz w:val="20"/>
          <w:szCs w:val="20"/>
          <w:lang w:val="en-US"/>
        </w:rPr>
        <w:t xml:space="preserve"> in Intubation: Rapid Sequence Intubation. </w:t>
      </w:r>
      <w:proofErr w:type="spellStart"/>
      <w:r w:rsidRPr="00CC61BE">
        <w:rPr>
          <w:rFonts w:ascii="Arial" w:hAnsi="Arial" w:cs="Arial"/>
          <w:sz w:val="20"/>
          <w:szCs w:val="20"/>
          <w:lang w:val="en-US"/>
        </w:rPr>
        <w:t>Emerg</w:t>
      </w:r>
      <w:proofErr w:type="spellEnd"/>
      <w:r w:rsidRPr="00CC61BE">
        <w:rPr>
          <w:rFonts w:ascii="Arial" w:hAnsi="Arial" w:cs="Arial"/>
          <w:sz w:val="20"/>
          <w:szCs w:val="20"/>
          <w:lang w:val="en-US"/>
        </w:rPr>
        <w:t xml:space="preserve"> Med Clin N Am. 2008; 26:1043-68. </w:t>
      </w:r>
    </w:p>
    <w:p w14:paraId="602BECB4" w14:textId="0BD2C066" w:rsidR="003D5C52" w:rsidRDefault="003D5C52">
      <w:pPr>
        <w:rPr>
          <w:rFonts w:ascii="Arial" w:hAnsi="Arial" w:cs="Arial"/>
          <w:sz w:val="20"/>
          <w:szCs w:val="20"/>
        </w:rPr>
      </w:pPr>
      <w:r w:rsidRPr="00CC61BE">
        <w:rPr>
          <w:rFonts w:ascii="Arial" w:hAnsi="Arial" w:cs="Arial"/>
          <w:sz w:val="20"/>
          <w:szCs w:val="20"/>
          <w:lang w:val="en-US"/>
        </w:rPr>
        <w:t xml:space="preserve">4. Suresh MS, </w:t>
      </w:r>
      <w:proofErr w:type="spellStart"/>
      <w:r w:rsidRPr="00CC61BE">
        <w:rPr>
          <w:rFonts w:ascii="Arial" w:hAnsi="Arial" w:cs="Arial"/>
          <w:sz w:val="20"/>
          <w:szCs w:val="20"/>
          <w:lang w:val="en-US"/>
        </w:rPr>
        <w:t>Munnur</w:t>
      </w:r>
      <w:proofErr w:type="spellEnd"/>
      <w:r w:rsidRPr="00CC61BE">
        <w:rPr>
          <w:rFonts w:ascii="Arial" w:hAnsi="Arial" w:cs="Arial"/>
          <w:sz w:val="20"/>
          <w:szCs w:val="20"/>
          <w:lang w:val="en-US"/>
        </w:rPr>
        <w:t xml:space="preserve"> U, </w:t>
      </w:r>
      <w:proofErr w:type="spellStart"/>
      <w:r w:rsidRPr="00CC61BE">
        <w:rPr>
          <w:rFonts w:ascii="Arial" w:hAnsi="Arial" w:cs="Arial"/>
          <w:sz w:val="20"/>
          <w:szCs w:val="20"/>
          <w:lang w:val="en-US"/>
        </w:rPr>
        <w:t>Wali</w:t>
      </w:r>
      <w:proofErr w:type="spellEnd"/>
      <w:r w:rsidRPr="00CC61BE">
        <w:rPr>
          <w:rFonts w:ascii="Arial" w:hAnsi="Arial" w:cs="Arial"/>
          <w:sz w:val="20"/>
          <w:szCs w:val="20"/>
          <w:lang w:val="en-US"/>
        </w:rPr>
        <w:t xml:space="preserve"> A. The patient with a full stomach. In: Hagberg CA, editor. </w:t>
      </w:r>
      <w:proofErr w:type="spellStart"/>
      <w:r w:rsidRPr="00CC61BE">
        <w:rPr>
          <w:rFonts w:ascii="Arial" w:hAnsi="Arial" w:cs="Arial"/>
          <w:sz w:val="20"/>
          <w:szCs w:val="20"/>
          <w:lang w:val="en-US"/>
        </w:rPr>
        <w:t>Benumof’s</w:t>
      </w:r>
      <w:proofErr w:type="spellEnd"/>
      <w:r w:rsidRPr="00CC61BE">
        <w:rPr>
          <w:rFonts w:ascii="Arial" w:hAnsi="Arial" w:cs="Arial"/>
          <w:sz w:val="20"/>
          <w:szCs w:val="20"/>
          <w:lang w:val="en-US"/>
        </w:rPr>
        <w:t xml:space="preserve"> airway management: principles and practice. </w:t>
      </w:r>
      <w:r w:rsidRPr="00780478">
        <w:rPr>
          <w:rFonts w:ascii="Arial" w:hAnsi="Arial" w:cs="Arial"/>
          <w:sz w:val="20"/>
          <w:szCs w:val="20"/>
        </w:rPr>
        <w:t xml:space="preserve">2nd ed. Philadelphia, PA: </w:t>
      </w:r>
      <w:proofErr w:type="spellStart"/>
      <w:r w:rsidRPr="00780478">
        <w:rPr>
          <w:rFonts w:ascii="Arial" w:hAnsi="Arial" w:cs="Arial"/>
          <w:sz w:val="20"/>
          <w:szCs w:val="20"/>
        </w:rPr>
        <w:t>Mosby</w:t>
      </w:r>
      <w:proofErr w:type="spellEnd"/>
      <w:r w:rsidRPr="00780478">
        <w:rPr>
          <w:rFonts w:ascii="Arial" w:hAnsi="Arial" w:cs="Arial"/>
          <w:sz w:val="20"/>
          <w:szCs w:val="20"/>
        </w:rPr>
        <w:t>; 2007. p.764-6.</w:t>
      </w:r>
    </w:p>
    <w:p w14:paraId="2F2BCA8B" w14:textId="3E0606E5" w:rsidR="00E45B8C" w:rsidRDefault="00E45B8C">
      <w:pPr>
        <w:rPr>
          <w:rFonts w:ascii="Arial" w:hAnsi="Arial" w:cs="Arial"/>
          <w:sz w:val="20"/>
          <w:szCs w:val="20"/>
        </w:rPr>
      </w:pPr>
    </w:p>
    <w:p w14:paraId="08435536" w14:textId="463B6245" w:rsidR="00E45B8C" w:rsidRPr="00780478" w:rsidRDefault="00E45B8C">
      <w:pPr>
        <w:rPr>
          <w:rFonts w:ascii="Arial" w:hAnsi="Arial" w:cs="Arial"/>
          <w:b/>
          <w:sz w:val="20"/>
          <w:szCs w:val="20"/>
        </w:rPr>
      </w:pPr>
      <w:r w:rsidRPr="00A659B5">
        <w:rPr>
          <w:rFonts w:ascii="Arial" w:hAnsi="Arial" w:cs="Arial"/>
          <w:bCs/>
          <w:sz w:val="20"/>
          <w:szCs w:val="20"/>
        </w:rPr>
        <w:t>Responsáve</w:t>
      </w:r>
      <w:r>
        <w:rPr>
          <w:rFonts w:ascii="Arial" w:hAnsi="Arial" w:cs="Arial"/>
          <w:bCs/>
          <w:sz w:val="20"/>
          <w:szCs w:val="20"/>
        </w:rPr>
        <w:t>l</w:t>
      </w:r>
      <w:r w:rsidRPr="00A659B5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p</w:t>
      </w:r>
      <w:r w:rsidRPr="00A659B5">
        <w:rPr>
          <w:rFonts w:ascii="Arial" w:hAnsi="Arial" w:cs="Arial"/>
          <w:bCs/>
          <w:sz w:val="20"/>
          <w:szCs w:val="20"/>
        </w:rPr>
        <w:t xml:space="preserve">ela </w:t>
      </w:r>
      <w:r>
        <w:rPr>
          <w:rFonts w:ascii="Arial" w:hAnsi="Arial" w:cs="Arial"/>
          <w:bCs/>
          <w:sz w:val="20"/>
          <w:szCs w:val="20"/>
        </w:rPr>
        <w:t>e</w:t>
      </w:r>
      <w:r w:rsidRPr="00A659B5">
        <w:rPr>
          <w:rFonts w:ascii="Arial" w:hAnsi="Arial" w:cs="Arial"/>
          <w:bCs/>
          <w:sz w:val="20"/>
          <w:szCs w:val="20"/>
        </w:rPr>
        <w:t xml:space="preserve">laboração </w:t>
      </w:r>
      <w:r>
        <w:rPr>
          <w:rFonts w:ascii="Arial" w:hAnsi="Arial" w:cs="Arial"/>
          <w:bCs/>
          <w:sz w:val="20"/>
          <w:szCs w:val="20"/>
        </w:rPr>
        <w:t>d</w:t>
      </w:r>
      <w:r w:rsidRPr="00A659B5"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>r</w:t>
      </w:r>
      <w:r w:rsidRPr="00A659B5">
        <w:rPr>
          <w:rFonts w:ascii="Arial" w:hAnsi="Arial" w:cs="Arial"/>
          <w:bCs/>
          <w:sz w:val="20"/>
          <w:szCs w:val="20"/>
        </w:rPr>
        <w:t>otina:</w:t>
      </w:r>
      <w:r>
        <w:rPr>
          <w:rFonts w:ascii="Arial" w:hAnsi="Arial" w:cs="Arial"/>
          <w:bCs/>
          <w:sz w:val="20"/>
          <w:szCs w:val="20"/>
        </w:rPr>
        <w:t xml:space="preserve"> Dr. Rafael </w:t>
      </w:r>
      <w:proofErr w:type="spellStart"/>
      <w:r>
        <w:rPr>
          <w:rFonts w:ascii="Arial" w:hAnsi="Arial" w:cs="Arial"/>
          <w:bCs/>
          <w:sz w:val="20"/>
          <w:szCs w:val="20"/>
        </w:rPr>
        <w:t>Belotti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Fialho</w:t>
      </w:r>
    </w:p>
    <w:sectPr w:rsidR="00E45B8C" w:rsidRPr="00780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440A"/>
    <w:rsid w:val="00061F2C"/>
    <w:rsid w:val="0008464D"/>
    <w:rsid w:val="000A354E"/>
    <w:rsid w:val="00167A4F"/>
    <w:rsid w:val="001E2732"/>
    <w:rsid w:val="002145D9"/>
    <w:rsid w:val="003258D3"/>
    <w:rsid w:val="003D5C52"/>
    <w:rsid w:val="00560A95"/>
    <w:rsid w:val="0072440A"/>
    <w:rsid w:val="00780478"/>
    <w:rsid w:val="00806D18"/>
    <w:rsid w:val="00901E13"/>
    <w:rsid w:val="00911823"/>
    <w:rsid w:val="009F467F"/>
    <w:rsid w:val="00AB2ECE"/>
    <w:rsid w:val="00BE3348"/>
    <w:rsid w:val="00CB7FEB"/>
    <w:rsid w:val="00CC61BE"/>
    <w:rsid w:val="00D53B1E"/>
    <w:rsid w:val="00DB5C1E"/>
    <w:rsid w:val="00E45B8C"/>
    <w:rsid w:val="00EF7CDB"/>
    <w:rsid w:val="00FB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020C2"/>
  <w15:docId w15:val="{E6E68D75-7146-4F49-A15A-E05BA370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F7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7CD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AB2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2509</Words>
  <Characters>13549</Characters>
  <Application>Microsoft Office Word</Application>
  <DocSecurity>0</DocSecurity>
  <Lines>112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rbfialho</dc:creator>
  <cp:lastModifiedBy>RODOLFO ROCHANETO</cp:lastModifiedBy>
  <cp:revision>5</cp:revision>
  <dcterms:created xsi:type="dcterms:W3CDTF">2019-09-10T02:17:00Z</dcterms:created>
  <dcterms:modified xsi:type="dcterms:W3CDTF">2020-05-18T03:21:00Z</dcterms:modified>
</cp:coreProperties>
</file>