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07E1" w14:textId="77777777" w:rsidR="00953336" w:rsidRPr="00F11DFB" w:rsidRDefault="00953336" w:rsidP="00556B24">
      <w:pPr>
        <w:spacing w:line="276" w:lineRule="auto"/>
        <w:ind w:left="993"/>
        <w:jc w:val="center"/>
        <w:rPr>
          <w:rFonts w:ascii="Arial" w:hAnsi="Arial" w:cs="Arial"/>
          <w:sz w:val="24"/>
        </w:rPr>
      </w:pPr>
    </w:p>
    <w:p w14:paraId="3CE41C21" w14:textId="1F253EA0" w:rsidR="00550B4F" w:rsidRPr="00F11DFB" w:rsidRDefault="00BD1DE0" w:rsidP="00556B24">
      <w:pPr>
        <w:spacing w:line="276" w:lineRule="auto"/>
        <w:ind w:left="993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Traumatismo Cranioencefálico</w:t>
      </w:r>
    </w:p>
    <w:p w14:paraId="1617EC37" w14:textId="77777777" w:rsidR="00953336" w:rsidRPr="00F11DFB" w:rsidRDefault="00953336" w:rsidP="00556B24">
      <w:pPr>
        <w:spacing w:line="276" w:lineRule="auto"/>
        <w:ind w:left="993"/>
        <w:jc w:val="center"/>
        <w:rPr>
          <w:rFonts w:ascii="Arial" w:hAnsi="Arial" w:cs="Arial"/>
          <w:sz w:val="24"/>
        </w:rPr>
      </w:pPr>
    </w:p>
    <w:p w14:paraId="2ECDC5BC" w14:textId="77777777" w:rsidR="00774B5E" w:rsidRPr="00F11DFB" w:rsidRDefault="00774B5E" w:rsidP="00556B24">
      <w:pPr>
        <w:spacing w:line="276" w:lineRule="auto"/>
        <w:ind w:left="993"/>
        <w:jc w:val="center"/>
        <w:rPr>
          <w:rFonts w:ascii="Arial" w:hAnsi="Arial" w:cs="Arial"/>
          <w:sz w:val="24"/>
        </w:rPr>
      </w:pPr>
    </w:p>
    <w:p w14:paraId="27278947" w14:textId="319CFDFD" w:rsidR="00774B5E" w:rsidRPr="00F11DFB" w:rsidRDefault="000B0499" w:rsidP="00556B24">
      <w:pPr>
        <w:pStyle w:val="PargrafodaLista"/>
        <w:numPr>
          <w:ilvl w:val="0"/>
          <w:numId w:val="1"/>
        </w:num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  <w:r w:rsidR="00774B5E" w:rsidRPr="00F11DFB">
        <w:rPr>
          <w:rFonts w:ascii="Arial" w:hAnsi="Arial" w:cs="Arial"/>
          <w:sz w:val="24"/>
        </w:rPr>
        <w:t>:</w:t>
      </w:r>
    </w:p>
    <w:p w14:paraId="32CA2350" w14:textId="77777777" w:rsidR="00774B5E" w:rsidRPr="00F11DFB" w:rsidRDefault="00774B5E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0ACFA375" w14:textId="0336213A" w:rsidR="00F20CF1" w:rsidRDefault="00766FAB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traumatismos cr</w:t>
      </w:r>
      <w:r w:rsidR="00901B0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nio</w:t>
      </w:r>
      <w:r w:rsidRPr="00766FAB">
        <w:rPr>
          <w:rFonts w:ascii="Arial" w:hAnsi="Arial" w:cs="Arial"/>
          <w:sz w:val="24"/>
        </w:rPr>
        <w:t>encefálicos (TCE) são frequentes</w:t>
      </w:r>
      <w:r>
        <w:rPr>
          <w:rFonts w:ascii="Arial" w:hAnsi="Arial" w:cs="Arial"/>
          <w:sz w:val="24"/>
        </w:rPr>
        <w:t xml:space="preserve"> </w:t>
      </w:r>
      <w:r w:rsidRPr="00766FAB">
        <w:rPr>
          <w:rFonts w:ascii="Arial" w:hAnsi="Arial" w:cs="Arial"/>
          <w:sz w:val="24"/>
        </w:rPr>
        <w:t xml:space="preserve">e potencialmente graves na </w:t>
      </w:r>
      <w:r w:rsidR="000B0499">
        <w:rPr>
          <w:rFonts w:ascii="Arial" w:hAnsi="Arial" w:cs="Arial"/>
          <w:sz w:val="24"/>
        </w:rPr>
        <w:t>infância</w:t>
      </w:r>
      <w:r w:rsidRPr="00766FAB">
        <w:rPr>
          <w:rFonts w:ascii="Arial" w:hAnsi="Arial" w:cs="Arial"/>
          <w:sz w:val="24"/>
        </w:rPr>
        <w:t xml:space="preserve">, </w:t>
      </w:r>
      <w:r w:rsidR="000B0499">
        <w:rPr>
          <w:rFonts w:ascii="Arial" w:hAnsi="Arial" w:cs="Arial"/>
          <w:sz w:val="24"/>
        </w:rPr>
        <w:t xml:space="preserve">no entanto, a sua real </w:t>
      </w:r>
      <w:r w:rsidRPr="00766FAB">
        <w:rPr>
          <w:rFonts w:ascii="Arial" w:hAnsi="Arial" w:cs="Arial"/>
          <w:sz w:val="24"/>
        </w:rPr>
        <w:t xml:space="preserve">incidência </w:t>
      </w:r>
      <w:r>
        <w:rPr>
          <w:rFonts w:ascii="Arial" w:hAnsi="Arial" w:cs="Arial"/>
          <w:sz w:val="24"/>
        </w:rPr>
        <w:t xml:space="preserve">é difícil de apurar. </w:t>
      </w:r>
      <w:r w:rsidR="000B0499">
        <w:rPr>
          <w:rFonts w:ascii="Arial" w:hAnsi="Arial" w:cs="Arial"/>
          <w:sz w:val="24"/>
        </w:rPr>
        <w:t>Cerca de 75%</w:t>
      </w:r>
      <w:r w:rsidRPr="00766FAB">
        <w:rPr>
          <w:rFonts w:ascii="Arial" w:hAnsi="Arial" w:cs="Arial"/>
          <w:sz w:val="24"/>
        </w:rPr>
        <w:t xml:space="preserve"> a 90% dos TCE observados </w:t>
      </w:r>
      <w:r w:rsidR="000B0499">
        <w:rPr>
          <w:rFonts w:ascii="Arial" w:hAnsi="Arial" w:cs="Arial"/>
          <w:sz w:val="24"/>
        </w:rPr>
        <w:t xml:space="preserve">em um pronto socorro pediátrico </w:t>
      </w:r>
      <w:r w:rsidRPr="00766FAB">
        <w:rPr>
          <w:rFonts w:ascii="Arial" w:hAnsi="Arial" w:cs="Arial"/>
          <w:sz w:val="24"/>
        </w:rPr>
        <w:t xml:space="preserve">são </w:t>
      </w:r>
      <w:r w:rsidR="00F20CF1">
        <w:rPr>
          <w:rFonts w:ascii="Arial" w:hAnsi="Arial" w:cs="Arial"/>
          <w:sz w:val="24"/>
        </w:rPr>
        <w:t xml:space="preserve">leves, ou seja, </w:t>
      </w:r>
      <w:r w:rsidRPr="00766FAB">
        <w:rPr>
          <w:rFonts w:ascii="Arial" w:hAnsi="Arial" w:cs="Arial"/>
          <w:sz w:val="24"/>
        </w:rPr>
        <w:t>com escala</w:t>
      </w:r>
      <w:r>
        <w:rPr>
          <w:rFonts w:ascii="Arial" w:hAnsi="Arial" w:cs="Arial"/>
          <w:sz w:val="24"/>
        </w:rPr>
        <w:t xml:space="preserve"> </w:t>
      </w:r>
      <w:r w:rsidRPr="00766FAB">
        <w:rPr>
          <w:rFonts w:ascii="Arial" w:hAnsi="Arial" w:cs="Arial"/>
          <w:sz w:val="24"/>
        </w:rPr>
        <w:t xml:space="preserve">de coma de </w:t>
      </w:r>
      <w:r w:rsidR="00851B00">
        <w:rPr>
          <w:rFonts w:ascii="Arial" w:hAnsi="Arial" w:cs="Arial"/>
          <w:sz w:val="24"/>
        </w:rPr>
        <w:t xml:space="preserve">Glasgow (ECG) igual ou </w:t>
      </w:r>
      <w:r w:rsidR="00F026D8">
        <w:rPr>
          <w:rFonts w:ascii="Arial" w:hAnsi="Arial" w:cs="Arial"/>
          <w:sz w:val="24"/>
        </w:rPr>
        <w:t xml:space="preserve">superior </w:t>
      </w:r>
      <w:r w:rsidR="00851B00">
        <w:rPr>
          <w:rFonts w:ascii="Arial" w:hAnsi="Arial" w:cs="Arial"/>
          <w:sz w:val="24"/>
        </w:rPr>
        <w:t>a 14</w:t>
      </w:r>
      <w:r>
        <w:rPr>
          <w:rFonts w:ascii="Arial" w:hAnsi="Arial" w:cs="Arial"/>
          <w:sz w:val="24"/>
        </w:rPr>
        <w:t xml:space="preserve">. </w:t>
      </w:r>
      <w:r w:rsidR="00F20CF1">
        <w:rPr>
          <w:rFonts w:ascii="Arial" w:hAnsi="Arial" w:cs="Arial"/>
          <w:sz w:val="24"/>
        </w:rPr>
        <w:t>Nos TCE leves, a</w:t>
      </w:r>
      <w:r w:rsidRPr="00766FAB">
        <w:rPr>
          <w:rFonts w:ascii="Arial" w:hAnsi="Arial" w:cs="Arial"/>
          <w:sz w:val="24"/>
        </w:rPr>
        <w:t>s taxas</w:t>
      </w:r>
      <w:r>
        <w:rPr>
          <w:rFonts w:ascii="Arial" w:hAnsi="Arial" w:cs="Arial"/>
          <w:sz w:val="24"/>
        </w:rPr>
        <w:t xml:space="preserve"> de morbi</w:t>
      </w:r>
      <w:r w:rsidRPr="00766FAB">
        <w:rPr>
          <w:rFonts w:ascii="Arial" w:hAnsi="Arial" w:cs="Arial"/>
          <w:sz w:val="24"/>
        </w:rPr>
        <w:t xml:space="preserve">mortalidade são </w:t>
      </w:r>
      <w:r w:rsidR="00F20CF1">
        <w:rPr>
          <w:rFonts w:ascii="Arial" w:hAnsi="Arial" w:cs="Arial"/>
          <w:sz w:val="24"/>
        </w:rPr>
        <w:t xml:space="preserve">geralmente </w:t>
      </w:r>
      <w:r w:rsidRPr="00766FAB">
        <w:rPr>
          <w:rFonts w:ascii="Arial" w:hAnsi="Arial" w:cs="Arial"/>
          <w:sz w:val="24"/>
        </w:rPr>
        <w:t>baixas</w:t>
      </w:r>
      <w:r w:rsidR="00F20CF1">
        <w:rPr>
          <w:rFonts w:ascii="Arial" w:hAnsi="Arial" w:cs="Arial"/>
          <w:sz w:val="24"/>
        </w:rPr>
        <w:t>, ao contrário dos</w:t>
      </w:r>
      <w:r w:rsidRPr="00766FAB">
        <w:rPr>
          <w:rFonts w:ascii="Arial" w:hAnsi="Arial" w:cs="Arial"/>
          <w:sz w:val="24"/>
        </w:rPr>
        <w:t xml:space="preserve"> casos</w:t>
      </w:r>
      <w:r>
        <w:rPr>
          <w:rFonts w:ascii="Arial" w:hAnsi="Arial" w:cs="Arial"/>
          <w:sz w:val="24"/>
        </w:rPr>
        <w:t xml:space="preserve"> </w:t>
      </w:r>
      <w:r w:rsidRPr="00766FAB">
        <w:rPr>
          <w:rFonts w:ascii="Arial" w:hAnsi="Arial" w:cs="Arial"/>
          <w:sz w:val="24"/>
        </w:rPr>
        <w:t xml:space="preserve">de morte e sequelas </w:t>
      </w:r>
      <w:r w:rsidR="00F20CF1">
        <w:rPr>
          <w:rFonts w:ascii="Arial" w:hAnsi="Arial" w:cs="Arial"/>
          <w:sz w:val="24"/>
        </w:rPr>
        <w:t xml:space="preserve">que </w:t>
      </w:r>
      <w:r w:rsidRPr="00766FAB">
        <w:rPr>
          <w:rFonts w:ascii="Arial" w:hAnsi="Arial" w:cs="Arial"/>
          <w:sz w:val="24"/>
        </w:rPr>
        <w:t xml:space="preserve">ocorrem </w:t>
      </w:r>
      <w:r w:rsidR="00F20CF1">
        <w:rPr>
          <w:rFonts w:ascii="Arial" w:hAnsi="Arial" w:cs="Arial"/>
          <w:sz w:val="24"/>
        </w:rPr>
        <w:t xml:space="preserve">com maior frequência </w:t>
      </w:r>
      <w:r w:rsidRPr="00766FAB">
        <w:rPr>
          <w:rFonts w:ascii="Arial" w:hAnsi="Arial" w:cs="Arial"/>
          <w:sz w:val="24"/>
        </w:rPr>
        <w:t>nos TCE moderados ou</w:t>
      </w:r>
      <w:r>
        <w:rPr>
          <w:rFonts w:ascii="Arial" w:hAnsi="Arial" w:cs="Arial"/>
          <w:sz w:val="24"/>
        </w:rPr>
        <w:t xml:space="preserve"> </w:t>
      </w:r>
      <w:r w:rsidRPr="00766FAB">
        <w:rPr>
          <w:rFonts w:ascii="Arial" w:hAnsi="Arial" w:cs="Arial"/>
          <w:sz w:val="24"/>
        </w:rPr>
        <w:t>graves</w:t>
      </w:r>
      <w:r w:rsidR="00F20CF1">
        <w:rPr>
          <w:rFonts w:ascii="Arial" w:hAnsi="Arial" w:cs="Arial"/>
          <w:sz w:val="24"/>
        </w:rPr>
        <w:t xml:space="preserve">. </w:t>
      </w:r>
    </w:p>
    <w:p w14:paraId="69349721" w14:textId="1C0A9A18" w:rsidR="00F20CF1" w:rsidRDefault="00F20CF1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0517B052" w14:textId="4573D086" w:rsidR="00F20CF1" w:rsidRPr="00F20CF1" w:rsidRDefault="00F20CF1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F20CF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maioria dos pacientes pediátricos com TCE leve podem ser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liberados após um breve período de observação clínica.</w:t>
      </w:r>
      <w:r>
        <w:rPr>
          <w:rFonts w:ascii="Arial" w:hAnsi="Arial" w:cs="Arial"/>
          <w:sz w:val="24"/>
        </w:rPr>
        <w:t xml:space="preserve"> No entanto</w:t>
      </w:r>
      <w:r w:rsidRPr="00F20CF1">
        <w:rPr>
          <w:rFonts w:ascii="Arial" w:hAnsi="Arial" w:cs="Arial"/>
          <w:sz w:val="24"/>
        </w:rPr>
        <w:t xml:space="preserve">, uma pequena parcela destes pacientes </w:t>
      </w:r>
      <w:r>
        <w:rPr>
          <w:rFonts w:ascii="Arial" w:hAnsi="Arial" w:cs="Arial"/>
          <w:sz w:val="24"/>
        </w:rPr>
        <w:t xml:space="preserve">(cerca de 0,5%) </w:t>
      </w:r>
      <w:r w:rsidRPr="00F20CF1">
        <w:rPr>
          <w:rFonts w:ascii="Arial" w:hAnsi="Arial" w:cs="Arial"/>
          <w:sz w:val="24"/>
        </w:rPr>
        <w:t>pode apresentar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deterioração neurológica e necessidade de intervenção</w:t>
      </w:r>
      <w:r>
        <w:rPr>
          <w:rFonts w:ascii="Arial" w:hAnsi="Arial" w:cs="Arial"/>
          <w:sz w:val="24"/>
        </w:rPr>
        <w:t xml:space="preserve"> cirúrgica</w:t>
      </w:r>
      <w:r w:rsidRPr="00F20CF1">
        <w:rPr>
          <w:rFonts w:ascii="Arial" w:hAnsi="Arial" w:cs="Arial"/>
          <w:sz w:val="24"/>
        </w:rPr>
        <w:t>. O tratamento cirúrgico precoce dos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hematomas intracranianos é fundamental para uma boa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evolução, sendo a tomografia computadorizada (TC) de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crânio o exa</w:t>
      </w:r>
      <w:r w:rsidR="00851B00">
        <w:rPr>
          <w:rFonts w:ascii="Arial" w:hAnsi="Arial" w:cs="Arial"/>
          <w:sz w:val="24"/>
        </w:rPr>
        <w:t>me de escolha para a detecção das</w:t>
      </w:r>
      <w:r w:rsidRPr="00F20CF1">
        <w:rPr>
          <w:rFonts w:ascii="Arial" w:hAnsi="Arial" w:cs="Arial"/>
          <w:sz w:val="24"/>
        </w:rPr>
        <w:t xml:space="preserve"> patologias</w:t>
      </w:r>
      <w:r>
        <w:rPr>
          <w:rFonts w:ascii="Arial" w:hAnsi="Arial" w:cs="Arial"/>
          <w:sz w:val="24"/>
        </w:rPr>
        <w:t xml:space="preserve"> intracranianas traumática</w:t>
      </w:r>
      <w:r w:rsidR="00A9409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.</w:t>
      </w:r>
    </w:p>
    <w:p w14:paraId="7CC2C15F" w14:textId="238CFCC5" w:rsidR="00F20CF1" w:rsidRDefault="00F20CF1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6024973" w14:textId="02A58FB1" w:rsidR="00774B5E" w:rsidRDefault="00766FAB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766FAB">
        <w:rPr>
          <w:rFonts w:ascii="Arial" w:hAnsi="Arial" w:cs="Arial"/>
          <w:sz w:val="24"/>
        </w:rPr>
        <w:t xml:space="preserve">A incidência de </w:t>
      </w:r>
      <w:r w:rsidR="00F20CF1">
        <w:rPr>
          <w:rFonts w:ascii="Arial" w:hAnsi="Arial" w:cs="Arial"/>
          <w:sz w:val="24"/>
        </w:rPr>
        <w:t xml:space="preserve">lesões intracranianas </w:t>
      </w:r>
      <w:r w:rsidRPr="00766FAB">
        <w:rPr>
          <w:rFonts w:ascii="Arial" w:hAnsi="Arial" w:cs="Arial"/>
          <w:sz w:val="24"/>
        </w:rPr>
        <w:t>no TCE</w:t>
      </w:r>
      <w:r>
        <w:rPr>
          <w:rFonts w:ascii="Arial" w:hAnsi="Arial" w:cs="Arial"/>
          <w:sz w:val="24"/>
        </w:rPr>
        <w:t xml:space="preserve"> </w:t>
      </w:r>
      <w:r w:rsidR="00F20CF1">
        <w:rPr>
          <w:rFonts w:ascii="Arial" w:hAnsi="Arial" w:cs="Arial"/>
          <w:sz w:val="24"/>
        </w:rPr>
        <w:t>leve</w:t>
      </w:r>
      <w:r w:rsidRPr="00766FAB">
        <w:rPr>
          <w:rFonts w:ascii="Arial" w:hAnsi="Arial" w:cs="Arial"/>
          <w:sz w:val="24"/>
        </w:rPr>
        <w:t xml:space="preserve"> é muito baixa, </w:t>
      </w:r>
      <w:r w:rsidR="00F20CF1">
        <w:rPr>
          <w:rFonts w:ascii="Arial" w:hAnsi="Arial" w:cs="Arial"/>
          <w:sz w:val="24"/>
        </w:rPr>
        <w:t xml:space="preserve">principalmente </w:t>
      </w:r>
      <w:r w:rsidRPr="00766FAB">
        <w:rPr>
          <w:rFonts w:ascii="Arial" w:hAnsi="Arial" w:cs="Arial"/>
          <w:sz w:val="24"/>
        </w:rPr>
        <w:t xml:space="preserve">lesões </w:t>
      </w:r>
      <w:r w:rsidR="00F20CF1">
        <w:rPr>
          <w:rFonts w:ascii="Arial" w:hAnsi="Arial" w:cs="Arial"/>
          <w:sz w:val="24"/>
        </w:rPr>
        <w:t xml:space="preserve">que necessitem de </w:t>
      </w:r>
      <w:r w:rsidRPr="00766FAB">
        <w:rPr>
          <w:rFonts w:ascii="Arial" w:hAnsi="Arial" w:cs="Arial"/>
          <w:sz w:val="24"/>
        </w:rPr>
        <w:t xml:space="preserve">intervenção cirúrgica urgente. </w:t>
      </w:r>
      <w:r w:rsidR="00F20CF1">
        <w:rPr>
          <w:rFonts w:ascii="Arial" w:hAnsi="Arial" w:cs="Arial"/>
          <w:sz w:val="24"/>
        </w:rPr>
        <w:t>Além disso</w:t>
      </w:r>
      <w:r w:rsidRPr="00766FAB">
        <w:rPr>
          <w:rFonts w:ascii="Arial" w:hAnsi="Arial" w:cs="Arial"/>
          <w:sz w:val="24"/>
        </w:rPr>
        <w:t>, a radiação ionizante tem</w:t>
      </w:r>
      <w:r>
        <w:rPr>
          <w:rFonts w:ascii="Arial" w:hAnsi="Arial" w:cs="Arial"/>
          <w:sz w:val="24"/>
        </w:rPr>
        <w:t xml:space="preserve"> </w:t>
      </w:r>
      <w:r w:rsidR="00F20CF1">
        <w:rPr>
          <w:rFonts w:ascii="Arial" w:hAnsi="Arial" w:cs="Arial"/>
          <w:sz w:val="24"/>
        </w:rPr>
        <w:t xml:space="preserve">conhecidamente </w:t>
      </w:r>
      <w:r w:rsidRPr="00766FAB">
        <w:rPr>
          <w:rFonts w:ascii="Arial" w:hAnsi="Arial" w:cs="Arial"/>
          <w:sz w:val="24"/>
        </w:rPr>
        <w:t>efeitos deletérios e cumulativos, com risco aumentado de</w:t>
      </w:r>
      <w:r>
        <w:rPr>
          <w:rFonts w:ascii="Arial" w:hAnsi="Arial" w:cs="Arial"/>
          <w:sz w:val="24"/>
        </w:rPr>
        <w:t xml:space="preserve"> </w:t>
      </w:r>
      <w:r w:rsidR="00F20CF1">
        <w:rPr>
          <w:rFonts w:ascii="Arial" w:hAnsi="Arial" w:cs="Arial"/>
          <w:sz w:val="24"/>
        </w:rPr>
        <w:t xml:space="preserve">neoplasias, </w:t>
      </w:r>
      <w:r w:rsidRPr="00766FAB">
        <w:rPr>
          <w:rFonts w:ascii="Arial" w:hAnsi="Arial" w:cs="Arial"/>
          <w:sz w:val="24"/>
        </w:rPr>
        <w:t>atraso do desenvolvimento</w:t>
      </w:r>
      <w:r w:rsidR="00F20CF1">
        <w:rPr>
          <w:rFonts w:ascii="Arial" w:hAnsi="Arial" w:cs="Arial"/>
          <w:sz w:val="24"/>
        </w:rPr>
        <w:t xml:space="preserve"> e distúrbios endocrinológicos. Desta forma, a indicação</w:t>
      </w:r>
      <w:r w:rsidR="00851B00">
        <w:rPr>
          <w:rFonts w:ascii="Arial" w:hAnsi="Arial" w:cs="Arial"/>
          <w:sz w:val="24"/>
        </w:rPr>
        <w:t xml:space="preserve"> dos</w:t>
      </w:r>
      <w:r w:rsidRPr="00766FAB">
        <w:rPr>
          <w:rFonts w:ascii="Arial" w:hAnsi="Arial" w:cs="Arial"/>
          <w:sz w:val="24"/>
        </w:rPr>
        <w:t xml:space="preserve"> exames </w:t>
      </w:r>
      <w:r w:rsidR="00F20CF1">
        <w:rPr>
          <w:rFonts w:ascii="Arial" w:hAnsi="Arial" w:cs="Arial"/>
          <w:sz w:val="24"/>
        </w:rPr>
        <w:t>de neuroimagem deve ser criteriosa</w:t>
      </w:r>
      <w:r>
        <w:rPr>
          <w:rFonts w:ascii="Arial" w:hAnsi="Arial" w:cs="Arial"/>
          <w:sz w:val="24"/>
        </w:rPr>
        <w:t>.</w:t>
      </w:r>
    </w:p>
    <w:p w14:paraId="10A35A1E" w14:textId="7785B4E3" w:rsidR="00DC2730" w:rsidRDefault="00DC2730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5F4DED4B" w14:textId="77777777" w:rsidR="00A70C99" w:rsidRPr="00F11DFB" w:rsidRDefault="00A70C9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77F056A0" w14:textId="54BC4290" w:rsidR="00953336" w:rsidRPr="00DC1883" w:rsidRDefault="00953336" w:rsidP="00556B24">
      <w:pPr>
        <w:pStyle w:val="PargrafodaLista"/>
        <w:numPr>
          <w:ilvl w:val="0"/>
          <w:numId w:val="1"/>
        </w:numPr>
        <w:spacing w:line="276" w:lineRule="auto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Diagnóstico</w:t>
      </w:r>
      <w:r w:rsidR="00D0646D" w:rsidRPr="00F11DFB">
        <w:rPr>
          <w:rFonts w:ascii="Arial" w:hAnsi="Arial" w:cs="Arial"/>
          <w:sz w:val="24"/>
        </w:rPr>
        <w:t xml:space="preserve"> Clínico</w:t>
      </w:r>
      <w:r w:rsidRPr="00F11DFB">
        <w:rPr>
          <w:rFonts w:ascii="Arial" w:hAnsi="Arial" w:cs="Arial"/>
          <w:sz w:val="24"/>
        </w:rPr>
        <w:t>:</w:t>
      </w:r>
      <w:r w:rsidRPr="00F11DFB">
        <w:t xml:space="preserve"> </w:t>
      </w:r>
    </w:p>
    <w:p w14:paraId="55528320" w14:textId="3AF01BA9" w:rsidR="00DC1883" w:rsidRDefault="00DC1883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417C3F9D" w14:textId="1BAD3796" w:rsidR="00DC1883" w:rsidRDefault="00DC1883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DC1883">
        <w:rPr>
          <w:rFonts w:ascii="Arial" w:hAnsi="Arial" w:cs="Arial"/>
          <w:sz w:val="24"/>
        </w:rPr>
        <w:t>Todo paciente vítima de TCE deve ser avaliado em até 15 min</w:t>
      </w:r>
      <w:r>
        <w:rPr>
          <w:rFonts w:ascii="Arial" w:hAnsi="Arial" w:cs="Arial"/>
          <w:sz w:val="24"/>
        </w:rPr>
        <w:t xml:space="preserve">utos após a entrada na emergência. </w:t>
      </w:r>
      <w:r w:rsidRPr="00DC1883">
        <w:rPr>
          <w:rFonts w:ascii="Arial" w:hAnsi="Arial" w:cs="Arial"/>
          <w:sz w:val="24"/>
        </w:rPr>
        <w:t>A avaliação</w:t>
      </w:r>
      <w:r>
        <w:rPr>
          <w:rFonts w:ascii="Arial" w:hAnsi="Arial" w:cs="Arial"/>
          <w:sz w:val="24"/>
        </w:rPr>
        <w:t xml:space="preserve"> inicial</w:t>
      </w:r>
      <w:r w:rsidRPr="00DC1883">
        <w:rPr>
          <w:rFonts w:ascii="Arial" w:hAnsi="Arial" w:cs="Arial"/>
          <w:sz w:val="24"/>
        </w:rPr>
        <w:t xml:space="preserve"> consistirá na anamnese </w:t>
      </w:r>
      <w:r w:rsidR="00557E39">
        <w:rPr>
          <w:rFonts w:ascii="Arial" w:hAnsi="Arial" w:cs="Arial"/>
          <w:sz w:val="24"/>
        </w:rPr>
        <w:t xml:space="preserve">(mecanismo do trauma e sintomas pós-trauma) </w:t>
      </w:r>
      <w:r w:rsidRPr="00DC1883">
        <w:rPr>
          <w:rFonts w:ascii="Arial" w:hAnsi="Arial" w:cs="Arial"/>
          <w:sz w:val="24"/>
        </w:rPr>
        <w:t>e no exame físico.</w:t>
      </w:r>
      <w:r>
        <w:rPr>
          <w:rFonts w:ascii="Arial" w:hAnsi="Arial" w:cs="Arial"/>
          <w:sz w:val="24"/>
        </w:rPr>
        <w:t xml:space="preserve"> </w:t>
      </w:r>
    </w:p>
    <w:p w14:paraId="05ACC36B" w14:textId="1BDD4647" w:rsidR="00DC1883" w:rsidRDefault="00DC1883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12DDD1EF" w14:textId="4AC45ECE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557E39">
        <w:rPr>
          <w:rFonts w:ascii="Arial" w:hAnsi="Arial" w:cs="Arial"/>
          <w:sz w:val="24"/>
          <w:u w:val="single"/>
        </w:rPr>
        <w:t>Mecanismo do trauma</w:t>
      </w:r>
      <w:r>
        <w:rPr>
          <w:rFonts w:ascii="Arial" w:hAnsi="Arial" w:cs="Arial"/>
          <w:sz w:val="24"/>
        </w:rPr>
        <w:t>:</w:t>
      </w:r>
    </w:p>
    <w:p w14:paraId="6A75E63E" w14:textId="77777777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A859563" w14:textId="0B5B743E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Atropelamento;</w:t>
      </w:r>
    </w:p>
    <w:p w14:paraId="4E871722" w14:textId="6D385F5F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Queda: altura, local, possibilidade de amortecimento da queda, posição na queda;</w:t>
      </w:r>
    </w:p>
    <w:p w14:paraId="26AFA63E" w14:textId="06C7F1E2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Veículo envolvido e velocidade (carro, bicicleta, patins) e uso de dispositivos de segurança (cinto, capacete, airbag);</w:t>
      </w:r>
    </w:p>
    <w:p w14:paraId="29AF0C87" w14:textId="77777777" w:rsidR="00556B24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Corrida contra objeto estacionado e a natureza deste objeto</w:t>
      </w:r>
      <w:r w:rsidR="00556B24">
        <w:rPr>
          <w:rFonts w:ascii="Arial" w:hAnsi="Arial" w:cs="Arial"/>
          <w:sz w:val="24"/>
        </w:rPr>
        <w:t>;</w:t>
      </w:r>
    </w:p>
    <w:p w14:paraId="450DB299" w14:textId="77777777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4F35D362" w14:textId="3B805370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37120238" w14:textId="7FC81416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Características do objeto lançado contra a cabeça: bola, objeto metálico, objeto pesado;</w:t>
      </w:r>
    </w:p>
    <w:p w14:paraId="39B7875B" w14:textId="6FBC6062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Outros mecanismos.</w:t>
      </w:r>
    </w:p>
    <w:p w14:paraId="62EA1F6C" w14:textId="480EB775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73EE797F" w14:textId="77A0E2A9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557E39">
        <w:rPr>
          <w:rFonts w:ascii="Arial" w:hAnsi="Arial" w:cs="Arial"/>
          <w:sz w:val="24"/>
          <w:u w:val="single"/>
        </w:rPr>
        <w:t>Mecanismos de trauma grave</w:t>
      </w:r>
      <w:r>
        <w:rPr>
          <w:rFonts w:ascii="Arial" w:hAnsi="Arial" w:cs="Arial"/>
          <w:sz w:val="24"/>
        </w:rPr>
        <w:t>:</w:t>
      </w:r>
    </w:p>
    <w:p w14:paraId="72246175" w14:textId="77777777" w:rsidR="00556B24" w:rsidRPr="00557E39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1EB7EDE8" w14:textId="6CDC0C04" w:rsidR="00557E39" w:rsidRP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57E39">
        <w:rPr>
          <w:rFonts w:ascii="Arial" w:hAnsi="Arial" w:cs="Arial"/>
          <w:sz w:val="24"/>
        </w:rPr>
        <w:t>Ejeção do carro</w:t>
      </w:r>
      <w:r>
        <w:rPr>
          <w:rFonts w:ascii="Arial" w:hAnsi="Arial" w:cs="Arial"/>
          <w:sz w:val="24"/>
        </w:rPr>
        <w:t>;</w:t>
      </w:r>
    </w:p>
    <w:p w14:paraId="5F5BF3AA" w14:textId="21A4B1B1" w:rsidR="00CF6B8A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57E39">
        <w:rPr>
          <w:rFonts w:ascii="Arial" w:hAnsi="Arial" w:cs="Arial"/>
          <w:sz w:val="24"/>
        </w:rPr>
        <w:t>Acidente automobilístico com morte de um dos passageiros</w:t>
      </w:r>
      <w:r>
        <w:rPr>
          <w:rFonts w:ascii="Arial" w:hAnsi="Arial" w:cs="Arial"/>
          <w:sz w:val="24"/>
        </w:rPr>
        <w:t>;</w:t>
      </w:r>
    </w:p>
    <w:p w14:paraId="44965B94" w14:textId="2DA99F95" w:rsidR="00557E39" w:rsidRP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57E39">
        <w:rPr>
          <w:rFonts w:ascii="Arial" w:hAnsi="Arial" w:cs="Arial"/>
          <w:sz w:val="24"/>
        </w:rPr>
        <w:t>Capotamento</w:t>
      </w:r>
      <w:r>
        <w:rPr>
          <w:rFonts w:ascii="Arial" w:hAnsi="Arial" w:cs="Arial"/>
          <w:sz w:val="24"/>
        </w:rPr>
        <w:t>;</w:t>
      </w:r>
    </w:p>
    <w:p w14:paraId="5744066B" w14:textId="199AA89F" w:rsidR="00557E39" w:rsidRP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57E39">
        <w:rPr>
          <w:rFonts w:ascii="Arial" w:hAnsi="Arial" w:cs="Arial"/>
          <w:sz w:val="24"/>
        </w:rPr>
        <w:t>Atropelamento de pedestre ou ciclista sem capacete</w:t>
      </w:r>
      <w:r>
        <w:rPr>
          <w:rFonts w:ascii="Arial" w:hAnsi="Arial" w:cs="Arial"/>
          <w:sz w:val="24"/>
        </w:rPr>
        <w:t>;</w:t>
      </w:r>
    </w:p>
    <w:p w14:paraId="67B725EA" w14:textId="26E78CB0" w:rsidR="00557E39" w:rsidRP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57E39">
        <w:rPr>
          <w:rFonts w:ascii="Arial" w:hAnsi="Arial" w:cs="Arial"/>
          <w:sz w:val="24"/>
        </w:rPr>
        <w:t>Quedas de mais de 0,9m (&lt; 2 anos) e mais de 1,5m (≥ 2 anos)</w:t>
      </w:r>
      <w:r>
        <w:rPr>
          <w:rFonts w:ascii="Arial" w:hAnsi="Arial" w:cs="Arial"/>
          <w:sz w:val="24"/>
        </w:rPr>
        <w:t>;</w:t>
      </w:r>
    </w:p>
    <w:p w14:paraId="0D08052A" w14:textId="7E609B99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57E39">
        <w:rPr>
          <w:rFonts w:ascii="Arial" w:hAnsi="Arial" w:cs="Arial"/>
          <w:sz w:val="24"/>
        </w:rPr>
        <w:t>Trauma ocasionado por objeto de alto impacto</w:t>
      </w:r>
      <w:r>
        <w:rPr>
          <w:rFonts w:ascii="Arial" w:hAnsi="Arial" w:cs="Arial"/>
          <w:sz w:val="24"/>
        </w:rPr>
        <w:t>.</w:t>
      </w:r>
    </w:p>
    <w:p w14:paraId="4870D591" w14:textId="2BBDEE2C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066E74D" w14:textId="78BBAD47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557E39">
        <w:rPr>
          <w:rFonts w:ascii="Arial" w:hAnsi="Arial" w:cs="Arial"/>
          <w:sz w:val="24"/>
          <w:u w:val="single"/>
        </w:rPr>
        <w:t>Sintomas pós-trauma</w:t>
      </w:r>
      <w:r>
        <w:rPr>
          <w:rFonts w:ascii="Arial" w:hAnsi="Arial" w:cs="Arial"/>
          <w:sz w:val="24"/>
        </w:rPr>
        <w:t>:</w:t>
      </w:r>
    </w:p>
    <w:p w14:paraId="52F36CA9" w14:textId="77777777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2087201C" w14:textId="6A2E7D0B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Amnésia: duração;</w:t>
      </w:r>
    </w:p>
    <w:p w14:paraId="147FEE88" w14:textId="761AAE6B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Perda de consciência: &lt; 5 segundos, 5 – 60 segundos, 1 – 5 minutos, &gt; 5 minutos;</w:t>
      </w:r>
    </w:p>
    <w:p w14:paraId="5FC8D32B" w14:textId="52B6535F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Crises epilépticas pós-trauma: tipo, tempo de início após o trauma, duração;</w:t>
      </w:r>
    </w:p>
    <w:p w14:paraId="37A948BE" w14:textId="4486BCDA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Cefaleia: intensidade, início do sintoma, duração, localização;</w:t>
      </w:r>
    </w:p>
    <w:p w14:paraId="0007C726" w14:textId="019093F4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Vômitos: número de episódios, momento após o trauma;</w:t>
      </w:r>
    </w:p>
    <w:p w14:paraId="2288B54F" w14:textId="7B954558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Náuseas ou vertigem: duração, persistência, intensidade;</w:t>
      </w:r>
    </w:p>
    <w:p w14:paraId="289244FF" w14:textId="17DB9E9F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Comportamento comparado ao habitual.</w:t>
      </w:r>
    </w:p>
    <w:p w14:paraId="5F60ED50" w14:textId="247CEEB4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67DE44A8" w14:textId="5F9C7093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557E39">
        <w:rPr>
          <w:rFonts w:ascii="Arial" w:hAnsi="Arial" w:cs="Arial"/>
          <w:sz w:val="24"/>
          <w:u w:val="single"/>
        </w:rPr>
        <w:t>Exame Físico</w:t>
      </w:r>
      <w:r>
        <w:rPr>
          <w:rFonts w:ascii="Arial" w:hAnsi="Arial" w:cs="Arial"/>
          <w:sz w:val="24"/>
        </w:rPr>
        <w:t>:</w:t>
      </w:r>
    </w:p>
    <w:p w14:paraId="0F97A7CC" w14:textId="77777777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5F90CE59" w14:textId="68191248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Escola de coma de Glasgow (adaptada para a faixa etária</w:t>
      </w:r>
      <w:r w:rsidR="00867EC7">
        <w:rPr>
          <w:rFonts w:ascii="Arial" w:hAnsi="Arial" w:cs="Arial"/>
          <w:sz w:val="24"/>
        </w:rPr>
        <w:t xml:space="preserve"> pediátrica</w:t>
      </w:r>
      <w:r>
        <w:rPr>
          <w:rFonts w:ascii="Arial" w:hAnsi="Arial" w:cs="Arial"/>
          <w:sz w:val="24"/>
        </w:rPr>
        <w:t>);</w:t>
      </w:r>
    </w:p>
    <w:p w14:paraId="7B649264" w14:textId="2DCCF044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Sinais de alteração do estado mental: agitação, sonolência, questionamento repetitivo, respostas lentificadas;</w:t>
      </w:r>
    </w:p>
    <w:p w14:paraId="2A2A2F9B" w14:textId="59C19632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Abaulamento de fontanela;</w:t>
      </w:r>
    </w:p>
    <w:p w14:paraId="67563C26" w14:textId="17AEDA68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Sinais de fratura de base de crânio: hematoma retroauricular (Sinal de </w:t>
      </w:r>
      <w:proofErr w:type="spellStart"/>
      <w:r>
        <w:rPr>
          <w:rFonts w:ascii="Arial" w:hAnsi="Arial" w:cs="Arial"/>
          <w:sz w:val="24"/>
        </w:rPr>
        <w:t>Battle</w:t>
      </w:r>
      <w:proofErr w:type="spellEnd"/>
      <w:r>
        <w:rPr>
          <w:rFonts w:ascii="Arial" w:hAnsi="Arial" w:cs="Arial"/>
          <w:sz w:val="24"/>
        </w:rPr>
        <w:t xml:space="preserve">), hematoma periorbitário (Sinal de </w:t>
      </w:r>
      <w:proofErr w:type="spellStart"/>
      <w:r>
        <w:rPr>
          <w:rFonts w:ascii="Arial" w:hAnsi="Arial" w:cs="Arial"/>
          <w:sz w:val="24"/>
        </w:rPr>
        <w:t>Guaxinin</w:t>
      </w:r>
      <w:proofErr w:type="spellEnd"/>
      <w:r>
        <w:rPr>
          <w:rFonts w:ascii="Arial" w:hAnsi="Arial" w:cs="Arial"/>
          <w:sz w:val="24"/>
        </w:rPr>
        <w:t xml:space="preserve">), </w:t>
      </w:r>
      <w:proofErr w:type="spellStart"/>
      <w:r w:rsidRPr="00DC1883">
        <w:rPr>
          <w:rFonts w:ascii="Arial" w:hAnsi="Arial" w:cs="Arial"/>
          <w:sz w:val="24"/>
        </w:rPr>
        <w:t>hemotímpano</w:t>
      </w:r>
      <w:proofErr w:type="spellEnd"/>
      <w:r w:rsidRPr="00DC188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perda de líquor otorreia / rinorreia;</w:t>
      </w:r>
    </w:p>
    <w:p w14:paraId="1E7D376F" w14:textId="09CFC65B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Fratura de crânio palpável;</w:t>
      </w:r>
    </w:p>
    <w:p w14:paraId="02F953E6" w14:textId="33E5DC74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Hematoma </w:t>
      </w:r>
      <w:proofErr w:type="spellStart"/>
      <w:r>
        <w:rPr>
          <w:rFonts w:ascii="Arial" w:hAnsi="Arial" w:cs="Arial"/>
          <w:sz w:val="24"/>
        </w:rPr>
        <w:t>subgaleal</w:t>
      </w:r>
      <w:proofErr w:type="spellEnd"/>
      <w:r>
        <w:rPr>
          <w:rFonts w:ascii="Arial" w:hAnsi="Arial" w:cs="Arial"/>
          <w:sz w:val="24"/>
        </w:rPr>
        <w:t>: local, tamanho;</w:t>
      </w:r>
    </w:p>
    <w:p w14:paraId="14470DE8" w14:textId="1EFE816D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Déficit neurológico: força e sensibilidade;</w:t>
      </w:r>
    </w:p>
    <w:p w14:paraId="24B80159" w14:textId="46419709" w:rsidR="00557E39" w:rsidRDefault="00557E3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Sinais de intoxicação: álcool, medicações, drogas ilícitas.</w:t>
      </w:r>
    </w:p>
    <w:p w14:paraId="5D4C15E6" w14:textId="4AF10C65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1C75517D" w14:textId="5BC3F73C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07F095F0" w14:textId="33B4C333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27227C64" w14:textId="480D0245" w:rsidR="00557E39" w:rsidRDefault="00557E39" w:rsidP="00557E39">
      <w:pPr>
        <w:ind w:left="993"/>
        <w:jc w:val="both"/>
        <w:rPr>
          <w:rFonts w:ascii="Arial" w:hAnsi="Arial" w:cs="Arial"/>
          <w:sz w:val="24"/>
        </w:rPr>
      </w:pPr>
    </w:p>
    <w:p w14:paraId="361CDDA5" w14:textId="77777777" w:rsidR="00556B24" w:rsidRDefault="00556B24" w:rsidP="00557E39">
      <w:pPr>
        <w:ind w:left="993"/>
        <w:jc w:val="both"/>
        <w:rPr>
          <w:rFonts w:ascii="Arial" w:hAnsi="Arial" w:cs="Arial"/>
          <w:sz w:val="24"/>
        </w:rPr>
      </w:pPr>
    </w:p>
    <w:p w14:paraId="7AE34173" w14:textId="77777777" w:rsidR="00867EC7" w:rsidRDefault="00867EC7" w:rsidP="00557E39">
      <w:pPr>
        <w:ind w:left="993"/>
        <w:jc w:val="both"/>
        <w:rPr>
          <w:rFonts w:ascii="Arial" w:hAnsi="Arial" w:cs="Arial"/>
          <w:sz w:val="24"/>
        </w:rPr>
      </w:pPr>
    </w:p>
    <w:tbl>
      <w:tblPr>
        <w:tblStyle w:val="TabeladeGrade4"/>
        <w:tblW w:w="8530" w:type="dxa"/>
        <w:tblInd w:w="1112" w:type="dxa"/>
        <w:tblLook w:val="04A0" w:firstRow="1" w:lastRow="0" w:firstColumn="1" w:lastColumn="0" w:noHBand="0" w:noVBand="1"/>
      </w:tblPr>
      <w:tblGrid>
        <w:gridCol w:w="2280"/>
        <w:gridCol w:w="2550"/>
        <w:gridCol w:w="1145"/>
        <w:gridCol w:w="2555"/>
      </w:tblGrid>
      <w:tr w:rsidR="00AE5E1F" w14:paraId="1E35904D" w14:textId="77777777" w:rsidTr="00D3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0" w:type="dxa"/>
            <w:gridSpan w:val="4"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1F9E7D31" w14:textId="790B0751" w:rsidR="00AE5E1F" w:rsidRPr="00867EC7" w:rsidRDefault="00AE5E1F" w:rsidP="00AE5E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Escala de Coma de Glasgow - Pediatria</w:t>
            </w:r>
          </w:p>
        </w:tc>
      </w:tr>
      <w:tr w:rsidR="00D36BBA" w14:paraId="6AE47DBE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7EDA91A" w14:textId="77777777" w:rsidR="00557E39" w:rsidRPr="00867EC7" w:rsidRDefault="00557E39" w:rsidP="00557E3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37CF6BA" w14:textId="52A0C715" w:rsidR="00557E39" w:rsidRPr="00867EC7" w:rsidRDefault="00867EC7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ESCOLAR</w:t>
            </w:r>
          </w:p>
        </w:tc>
        <w:tc>
          <w:tcPr>
            <w:tcW w:w="113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C1224D3" w14:textId="15650466" w:rsidR="00557E39" w:rsidRPr="00867EC7" w:rsidRDefault="00867EC7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PONTOS</w:t>
            </w:r>
          </w:p>
        </w:tc>
        <w:tc>
          <w:tcPr>
            <w:tcW w:w="255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F1B71AB" w14:textId="2734A89E" w:rsidR="00557E39" w:rsidRPr="00867EC7" w:rsidRDefault="00867EC7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LACTENTE</w:t>
            </w:r>
          </w:p>
        </w:tc>
      </w:tr>
      <w:tr w:rsidR="00D36BBA" w14:paraId="116D7934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AB8CCF2" w14:textId="58B3D574" w:rsidR="00AE5E1F" w:rsidRPr="00867EC7" w:rsidRDefault="00AE5E1F" w:rsidP="00AE5E1F">
            <w:pPr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Abertura ocular</w:t>
            </w:r>
          </w:p>
        </w:tc>
        <w:tc>
          <w:tcPr>
            <w:tcW w:w="2552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7E9B418B" w14:textId="06971C93" w:rsidR="00AE5E1F" w:rsidRPr="00867EC7" w:rsidRDefault="00AE5E1F" w:rsidP="00A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Espontânea</w:t>
            </w:r>
          </w:p>
        </w:tc>
        <w:tc>
          <w:tcPr>
            <w:tcW w:w="113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52E6556" w14:textId="24C25A38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5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7FF2672F" w14:textId="19AC7043" w:rsidR="00AE5E1F" w:rsidRPr="00867EC7" w:rsidRDefault="00AE5E1F" w:rsidP="00A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Espontânea</w:t>
            </w:r>
          </w:p>
        </w:tc>
      </w:tr>
      <w:tr w:rsidR="00AE5E1F" w14:paraId="62A678D3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FCF6E93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43D1B719" w14:textId="03B60BF7" w:rsidR="00AE5E1F" w:rsidRPr="00867EC7" w:rsidRDefault="00AE5E1F" w:rsidP="00AE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Com a fala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F6A0EAD" w14:textId="4F0BCC11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02C1DF77" w14:textId="075B7ED4" w:rsidR="00AE5E1F" w:rsidRPr="00867EC7" w:rsidRDefault="00AE5E1F" w:rsidP="00AE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Com a fala</w:t>
            </w:r>
          </w:p>
        </w:tc>
      </w:tr>
      <w:tr w:rsidR="00AE5E1F" w14:paraId="1A076945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7761105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7777B98A" w14:textId="0F1E972E" w:rsidR="00AE5E1F" w:rsidRPr="00867EC7" w:rsidRDefault="00AE5E1F" w:rsidP="00A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À dor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4715E356" w14:textId="12A08B16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DBF2BFE" w14:textId="5C1D3F3D" w:rsidR="00AE5E1F" w:rsidRPr="00867EC7" w:rsidRDefault="00AE5E1F" w:rsidP="00A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À dor</w:t>
            </w:r>
          </w:p>
        </w:tc>
      </w:tr>
      <w:tr w:rsidR="00AE5E1F" w14:paraId="5BF81D9D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95E462C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0B6D21D" w14:textId="06AC8DA3" w:rsidR="00AE5E1F" w:rsidRPr="00867EC7" w:rsidRDefault="00AE5E1F" w:rsidP="00AE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Ausente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0A76AFE" w14:textId="3404757A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1C05E8D" w14:textId="690FF826" w:rsidR="00AE5E1F" w:rsidRPr="00867EC7" w:rsidRDefault="00AE5E1F" w:rsidP="00AE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Ausente</w:t>
            </w:r>
          </w:p>
        </w:tc>
      </w:tr>
      <w:tr w:rsidR="00AE5E1F" w14:paraId="40DA4B1F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894FA6F" w14:textId="01C4DBEF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Resposta verbal</w:t>
            </w:r>
          </w:p>
        </w:tc>
        <w:tc>
          <w:tcPr>
            <w:tcW w:w="2552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66584B77" w14:textId="2D8179E3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Orientada</w:t>
            </w:r>
          </w:p>
        </w:tc>
        <w:tc>
          <w:tcPr>
            <w:tcW w:w="113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6453F795" w14:textId="4773C9F4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5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044E09CA" w14:textId="6E60C816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Balbucio</w:t>
            </w:r>
          </w:p>
        </w:tc>
      </w:tr>
      <w:tr w:rsidR="00AE5E1F" w14:paraId="47C17435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496E042E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1CA3424A" w14:textId="502DCC3B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Confusa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3E32CD33" w14:textId="3BF35760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3DF6FFD5" w14:textId="342F98E3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Choro Irritado</w:t>
            </w:r>
          </w:p>
        </w:tc>
      </w:tr>
      <w:tr w:rsidR="00AE5E1F" w14:paraId="19D81B75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21EC61F5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0476AE4D" w14:textId="18294EFB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Inapropriada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8097F96" w14:textId="016BDF36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7F707F7F" w14:textId="3AE0188F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Chora à dor</w:t>
            </w:r>
          </w:p>
        </w:tc>
      </w:tr>
      <w:tr w:rsidR="00AE5E1F" w14:paraId="1227B9D1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286647A0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76D67FCA" w14:textId="69182DDE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Sons Incompreensíveis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1DF17134" w14:textId="225ECC39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290A571" w14:textId="6D25C1C1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Geme à dor</w:t>
            </w:r>
          </w:p>
        </w:tc>
      </w:tr>
      <w:tr w:rsidR="00AE5E1F" w14:paraId="2D200832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D383A2D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11CAF70" w14:textId="5FA496F5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Ausente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482FC0E" w14:textId="29CD63A0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00C90E8" w14:textId="5339E0A4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Ausente</w:t>
            </w:r>
          </w:p>
        </w:tc>
      </w:tr>
      <w:tr w:rsidR="00AE5E1F" w14:paraId="0F5087C0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5DAFC60" w14:textId="1DA9539C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Resposta motora</w:t>
            </w:r>
          </w:p>
        </w:tc>
        <w:tc>
          <w:tcPr>
            <w:tcW w:w="2552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4D10DD9E" w14:textId="427A4191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Obedece a comandos</w:t>
            </w:r>
          </w:p>
        </w:tc>
        <w:tc>
          <w:tcPr>
            <w:tcW w:w="113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1B12E213" w14:textId="6B8C180F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55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3E77A70E" w14:textId="31A0F6D5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Movimentos espontâneos normais</w:t>
            </w:r>
          </w:p>
        </w:tc>
      </w:tr>
      <w:tr w:rsidR="00AE5E1F" w14:paraId="2FB62356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40800D84" w14:textId="4325D6AC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0B936A3B" w14:textId="4EB38AE2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Localiza a dor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315F14C7" w14:textId="094323C5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7ACEABD" w14:textId="0722D7EE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Retira ao toque</w:t>
            </w:r>
          </w:p>
        </w:tc>
      </w:tr>
      <w:tr w:rsidR="00AE5E1F" w14:paraId="0D234DC7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40677E85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D6D9E30" w14:textId="2491B88F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Retira à dor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15A8A87" w14:textId="1CD9DE04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198136E2" w14:textId="788A5E6E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Retira à dor</w:t>
            </w:r>
          </w:p>
        </w:tc>
      </w:tr>
      <w:tr w:rsidR="00AE5E1F" w14:paraId="3A093E23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389AF182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B2FE224" w14:textId="57FCF3CC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Flexão anormal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670357B7" w14:textId="43A8FDA6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0649031E" w14:textId="43C21100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Flexão anormal</w:t>
            </w:r>
          </w:p>
        </w:tc>
      </w:tr>
      <w:tr w:rsidR="00AE5E1F" w14:paraId="3A0A0251" w14:textId="77777777" w:rsidTr="00D3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1FBC4421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148E593E" w14:textId="3D36442B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Extensão anormal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34025C4B" w14:textId="1B876375" w:rsidR="00AE5E1F" w:rsidRPr="00867EC7" w:rsidRDefault="00AE5E1F" w:rsidP="00AE5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599B68A2" w14:textId="01BAA39B" w:rsidR="00AE5E1F" w:rsidRPr="00867EC7" w:rsidRDefault="00AE5E1F" w:rsidP="00AE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Extensão anormal</w:t>
            </w:r>
          </w:p>
        </w:tc>
      </w:tr>
      <w:tr w:rsidR="00AE5E1F" w14:paraId="11586E45" w14:textId="77777777" w:rsidTr="00D3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Merge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B3F729A" w14:textId="77777777" w:rsidR="00AE5E1F" w:rsidRPr="00867EC7" w:rsidRDefault="00AE5E1F" w:rsidP="00AE5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3C1C35B1" w14:textId="088B0FE8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Ausente</w:t>
            </w:r>
          </w:p>
        </w:tc>
        <w:tc>
          <w:tcPr>
            <w:tcW w:w="113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2144A689" w14:textId="59EDEBA8" w:rsidR="00AE5E1F" w:rsidRPr="00867EC7" w:rsidRDefault="00AE5E1F" w:rsidP="00AE5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  <w:vAlign w:val="center"/>
          </w:tcPr>
          <w:p w14:paraId="61B5AA70" w14:textId="109A3570" w:rsidR="00AE5E1F" w:rsidRPr="00867EC7" w:rsidRDefault="00AE5E1F" w:rsidP="00AE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67EC7">
              <w:rPr>
                <w:rFonts w:ascii="Arial" w:hAnsi="Arial" w:cs="Arial"/>
                <w:sz w:val="22"/>
                <w:szCs w:val="22"/>
              </w:rPr>
              <w:t>Ausente</w:t>
            </w:r>
          </w:p>
        </w:tc>
      </w:tr>
    </w:tbl>
    <w:p w14:paraId="44213C04" w14:textId="77777777" w:rsidR="00557E39" w:rsidRPr="00DC1883" w:rsidRDefault="00557E39" w:rsidP="00557E39">
      <w:pPr>
        <w:ind w:left="993"/>
        <w:jc w:val="both"/>
        <w:rPr>
          <w:rFonts w:ascii="Arial" w:hAnsi="Arial" w:cs="Arial"/>
          <w:sz w:val="24"/>
        </w:rPr>
      </w:pPr>
    </w:p>
    <w:p w14:paraId="1D3C14B3" w14:textId="7F61C327" w:rsidR="00557E39" w:rsidRDefault="00557E39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0DC3CFA2" w14:textId="5F7953FC" w:rsidR="00867EC7" w:rsidRPr="00867EC7" w:rsidRDefault="00867EC7" w:rsidP="00556B24">
      <w:pPr>
        <w:pStyle w:val="PargrafodaLista"/>
        <w:numPr>
          <w:ilvl w:val="0"/>
          <w:numId w:val="1"/>
        </w:numPr>
        <w:spacing w:line="276" w:lineRule="auto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Exames complementares</w:t>
      </w:r>
      <w:r w:rsidRPr="00F11DFB">
        <w:rPr>
          <w:rFonts w:ascii="Arial" w:hAnsi="Arial" w:cs="Arial"/>
          <w:sz w:val="24"/>
        </w:rPr>
        <w:t>:</w:t>
      </w:r>
      <w:r w:rsidRPr="00F11DFB">
        <w:t xml:space="preserve"> </w:t>
      </w:r>
    </w:p>
    <w:p w14:paraId="4C97DD90" w14:textId="702D2A16" w:rsidR="00867EC7" w:rsidRDefault="00867EC7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1EA917B3" w14:textId="4C4F7151" w:rsidR="00867EC7" w:rsidRDefault="00867EC7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Todos os pacientes com TCE moderado ou grave (ECG </w:t>
      </w:r>
      <w:r>
        <w:rPr>
          <w:rFonts w:ascii="Arial" w:hAnsi="Arial" w:cs="Arial"/>
          <w:sz w:val="24"/>
        </w:rPr>
        <w:sym w:font="Symbol" w:char="F0A3"/>
      </w:r>
      <w:r>
        <w:rPr>
          <w:rFonts w:ascii="Arial" w:hAnsi="Arial" w:cs="Arial"/>
          <w:sz w:val="24"/>
        </w:rPr>
        <w:t xml:space="preserve"> 13 e perda de consciência &gt; 30 minutos, além dos mecanismos já descritos anteriormente) devem ser conduzidos como politraumatizados por equipe especializada e têm indicação de realizar TC de crânio. </w:t>
      </w:r>
    </w:p>
    <w:p w14:paraId="696594CA" w14:textId="77777777" w:rsidR="00867EC7" w:rsidRDefault="00867EC7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1B3617B5" w14:textId="57FEEA0B" w:rsidR="00867EC7" w:rsidRDefault="00867EC7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Colégio Brasileiro de Cirurgiões, após análise criteriosa de </w:t>
      </w:r>
      <w:r w:rsidRPr="00F20CF1">
        <w:rPr>
          <w:rFonts w:ascii="Arial" w:hAnsi="Arial" w:cs="Arial"/>
          <w:sz w:val="24"/>
        </w:rPr>
        <w:t>algoritmos para</w:t>
      </w:r>
      <w:r>
        <w:rPr>
          <w:rFonts w:ascii="Arial" w:hAnsi="Arial" w:cs="Arial"/>
          <w:sz w:val="24"/>
        </w:rPr>
        <w:t xml:space="preserve"> </w:t>
      </w:r>
      <w:r w:rsidRPr="00F20CF1">
        <w:rPr>
          <w:rFonts w:ascii="Arial" w:hAnsi="Arial" w:cs="Arial"/>
          <w:sz w:val="24"/>
        </w:rPr>
        <w:t>indicação de TC de crânio em pacientes</w:t>
      </w:r>
      <w:r>
        <w:rPr>
          <w:rFonts w:ascii="Arial" w:hAnsi="Arial" w:cs="Arial"/>
          <w:sz w:val="24"/>
        </w:rPr>
        <w:t xml:space="preserve"> pediátricos com</w:t>
      </w:r>
      <w:r w:rsidRPr="00F20CF1">
        <w:rPr>
          <w:rFonts w:ascii="Arial" w:hAnsi="Arial" w:cs="Arial"/>
          <w:sz w:val="24"/>
        </w:rPr>
        <w:t xml:space="preserve"> TCE leve</w:t>
      </w:r>
      <w:r>
        <w:rPr>
          <w:rFonts w:ascii="Arial" w:hAnsi="Arial" w:cs="Arial"/>
          <w:sz w:val="24"/>
        </w:rPr>
        <w:t>,</w:t>
      </w:r>
      <w:r w:rsidRPr="00F20C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indica o protocolo proposto </w:t>
      </w:r>
      <w:r w:rsidRPr="00A70C99">
        <w:rPr>
          <w:rFonts w:ascii="Arial" w:hAnsi="Arial" w:cs="Arial"/>
          <w:sz w:val="24"/>
        </w:rPr>
        <w:t>pelo estudo PECARN</w:t>
      </w:r>
      <w:r>
        <w:rPr>
          <w:rFonts w:ascii="Arial" w:hAnsi="Arial" w:cs="Arial"/>
          <w:sz w:val="24"/>
        </w:rPr>
        <w:t>, por ser de</w:t>
      </w:r>
      <w:r w:rsidRPr="00A70C99">
        <w:rPr>
          <w:rFonts w:ascii="Arial" w:hAnsi="Arial" w:cs="Arial"/>
          <w:sz w:val="24"/>
        </w:rPr>
        <w:t xml:space="preserve"> simples utilização, além de validado com uma amostra</w:t>
      </w:r>
      <w:r>
        <w:rPr>
          <w:rFonts w:ascii="Arial" w:hAnsi="Arial" w:cs="Arial"/>
          <w:sz w:val="24"/>
        </w:rPr>
        <w:t xml:space="preserve"> </w:t>
      </w:r>
      <w:r w:rsidRPr="00A70C99">
        <w:rPr>
          <w:rFonts w:ascii="Arial" w:hAnsi="Arial" w:cs="Arial"/>
          <w:sz w:val="24"/>
        </w:rPr>
        <w:t xml:space="preserve">grande de pacientes com TCE leve. </w:t>
      </w:r>
    </w:p>
    <w:p w14:paraId="57B6FA94" w14:textId="77777777" w:rsidR="00867EC7" w:rsidRDefault="00867EC7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521C802" w14:textId="0153A74C" w:rsidR="00556B24" w:rsidRDefault="00A70C9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A70C99">
        <w:rPr>
          <w:rFonts w:ascii="Arial" w:hAnsi="Arial" w:cs="Arial"/>
          <w:sz w:val="24"/>
        </w:rPr>
        <w:t xml:space="preserve">Para a estratificação de risco, </w:t>
      </w:r>
      <w:r>
        <w:rPr>
          <w:rFonts w:ascii="Arial" w:hAnsi="Arial" w:cs="Arial"/>
          <w:sz w:val="24"/>
        </w:rPr>
        <w:t>os pacientes s</w:t>
      </w:r>
      <w:r w:rsidR="00C06A5B">
        <w:rPr>
          <w:rFonts w:ascii="Arial" w:hAnsi="Arial" w:cs="Arial"/>
          <w:sz w:val="24"/>
        </w:rPr>
        <w:t>ão dividid</w:t>
      </w:r>
      <w:r>
        <w:rPr>
          <w:rFonts w:ascii="Arial" w:hAnsi="Arial" w:cs="Arial"/>
          <w:sz w:val="24"/>
        </w:rPr>
        <w:t xml:space="preserve">os </w:t>
      </w:r>
      <w:r w:rsidR="00867EC7">
        <w:rPr>
          <w:rFonts w:ascii="Arial" w:hAnsi="Arial" w:cs="Arial"/>
          <w:sz w:val="24"/>
        </w:rPr>
        <w:t xml:space="preserve">inicialmente </w:t>
      </w:r>
      <w:r w:rsidRPr="00A70C99">
        <w:rPr>
          <w:rFonts w:ascii="Arial" w:hAnsi="Arial" w:cs="Arial"/>
          <w:sz w:val="24"/>
        </w:rPr>
        <w:t>de acordo com a faixa etária</w:t>
      </w:r>
      <w:r w:rsidR="00C06A5B">
        <w:rPr>
          <w:rFonts w:ascii="Arial" w:hAnsi="Arial" w:cs="Arial"/>
          <w:sz w:val="24"/>
        </w:rPr>
        <w:t xml:space="preserve"> em</w:t>
      </w:r>
      <w:r>
        <w:rPr>
          <w:rFonts w:ascii="Arial" w:hAnsi="Arial" w:cs="Arial"/>
          <w:sz w:val="24"/>
        </w:rPr>
        <w:t xml:space="preserve"> </w:t>
      </w:r>
      <w:r w:rsidR="00867EC7">
        <w:rPr>
          <w:rFonts w:ascii="Arial" w:hAnsi="Arial" w:cs="Arial"/>
          <w:sz w:val="24"/>
        </w:rPr>
        <w:t>menores e maiores que</w:t>
      </w:r>
      <w:r w:rsidRPr="00A70C99">
        <w:rPr>
          <w:rFonts w:ascii="Arial" w:hAnsi="Arial" w:cs="Arial"/>
          <w:sz w:val="24"/>
        </w:rPr>
        <w:t xml:space="preserve"> 2 anos</w:t>
      </w:r>
      <w:r>
        <w:rPr>
          <w:rFonts w:ascii="Arial" w:hAnsi="Arial" w:cs="Arial"/>
          <w:sz w:val="24"/>
        </w:rPr>
        <w:t xml:space="preserve"> </w:t>
      </w:r>
      <w:r w:rsidR="00867EC7">
        <w:rPr>
          <w:rFonts w:ascii="Arial" w:hAnsi="Arial" w:cs="Arial"/>
          <w:sz w:val="24"/>
        </w:rPr>
        <w:t>de idade.</w:t>
      </w:r>
      <w:r w:rsidR="00556B24" w:rsidRPr="00556B24">
        <w:rPr>
          <w:rFonts w:ascii="Arial" w:hAnsi="Arial" w:cs="Arial"/>
          <w:sz w:val="24"/>
        </w:rPr>
        <w:t xml:space="preserve"> </w:t>
      </w:r>
      <w:r w:rsidR="00556B24">
        <w:rPr>
          <w:rFonts w:ascii="Arial" w:hAnsi="Arial" w:cs="Arial"/>
          <w:sz w:val="24"/>
        </w:rPr>
        <w:t>Nos pacientes com risco moderado, a decisão entre realizar a TC de crânio ou permanecer em observação por um período maior (4 a 6 horas) será determinada pela experiência do médico, outras questões clínicas associadas (como doenças</w:t>
      </w:r>
      <w:r w:rsidR="00B077A2">
        <w:rPr>
          <w:rFonts w:ascii="Arial" w:hAnsi="Arial" w:cs="Arial"/>
          <w:sz w:val="24"/>
        </w:rPr>
        <w:t xml:space="preserve"> </w:t>
      </w:r>
      <w:r w:rsidR="00556B24">
        <w:rPr>
          <w:rFonts w:ascii="Arial" w:hAnsi="Arial" w:cs="Arial"/>
          <w:sz w:val="24"/>
        </w:rPr>
        <w:t>prévias), piora dos sintomas na evolução, idade &lt; 3 meses ou preferência dos pais.</w:t>
      </w:r>
    </w:p>
    <w:p w14:paraId="6C02B816" w14:textId="77777777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F5D0925" w14:textId="77777777" w:rsidR="00556B24" w:rsidRPr="00585B75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  <w:u w:val="single"/>
        </w:rPr>
      </w:pPr>
      <w:r w:rsidRPr="00585B75">
        <w:rPr>
          <w:rFonts w:ascii="Arial" w:hAnsi="Arial" w:cs="Arial"/>
          <w:sz w:val="24"/>
          <w:u w:val="single"/>
        </w:rPr>
        <w:t xml:space="preserve">Não há indicação </w:t>
      </w:r>
      <w:r>
        <w:rPr>
          <w:rFonts w:ascii="Arial" w:hAnsi="Arial" w:cs="Arial"/>
          <w:sz w:val="24"/>
          <w:u w:val="single"/>
        </w:rPr>
        <w:t>da</w:t>
      </w:r>
      <w:r w:rsidRPr="00585B75">
        <w:rPr>
          <w:rFonts w:ascii="Arial" w:hAnsi="Arial" w:cs="Arial"/>
          <w:sz w:val="24"/>
          <w:u w:val="single"/>
        </w:rPr>
        <w:t xml:space="preserve"> realização de radiografia de crânio no TCE.</w:t>
      </w:r>
    </w:p>
    <w:p w14:paraId="4BBEF6B2" w14:textId="6C3E85CA" w:rsidR="00A70C99" w:rsidRDefault="00A70C99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59F8B59" w14:textId="44B19DA3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6CF95AEB" w14:textId="77777777" w:rsidR="00556B24" w:rsidRDefault="00556B24" w:rsidP="00556B24">
      <w:pPr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44A3AEC4" w14:textId="77777777" w:rsidR="00867EC7" w:rsidRDefault="00867EC7" w:rsidP="00A70C99">
      <w:pPr>
        <w:ind w:left="993"/>
        <w:jc w:val="both"/>
        <w:rPr>
          <w:rFonts w:ascii="Arial" w:hAnsi="Arial" w:cs="Arial"/>
          <w:sz w:val="24"/>
        </w:rPr>
      </w:pPr>
    </w:p>
    <w:p w14:paraId="572900CC" w14:textId="5B108379" w:rsidR="00A70C99" w:rsidRDefault="00A70C99" w:rsidP="00A70C99">
      <w:pPr>
        <w:ind w:left="993"/>
        <w:jc w:val="both"/>
        <w:rPr>
          <w:rFonts w:ascii="Arial" w:hAnsi="Arial" w:cs="Arial"/>
          <w:sz w:val="24"/>
        </w:rPr>
      </w:pPr>
    </w:p>
    <w:tbl>
      <w:tblPr>
        <w:tblStyle w:val="TabeladeGrade4"/>
        <w:tblW w:w="8573" w:type="dxa"/>
        <w:tblInd w:w="920" w:type="dxa"/>
        <w:tblLook w:val="04A0" w:firstRow="1" w:lastRow="0" w:firstColumn="1" w:lastColumn="0" w:noHBand="0" w:noVBand="1"/>
      </w:tblPr>
      <w:tblGrid>
        <w:gridCol w:w="4178"/>
        <w:gridCol w:w="4395"/>
      </w:tblGrid>
      <w:tr w:rsidR="00A70C99" w14:paraId="4BC2E5AE" w14:textId="77777777" w:rsidTr="00A70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2"/>
            <w:vAlign w:val="center"/>
          </w:tcPr>
          <w:p w14:paraId="416B4856" w14:textId="12D53B63" w:rsidR="00A70C99" w:rsidRPr="00A70C99" w:rsidRDefault="00A70C99" w:rsidP="00A70C99">
            <w:pPr>
              <w:jc w:val="center"/>
              <w:rPr>
                <w:rFonts w:ascii="Arial" w:hAnsi="Arial" w:cs="Arial"/>
                <w:sz w:val="24"/>
              </w:rPr>
            </w:pPr>
            <w:r w:rsidRPr="00A70C99">
              <w:rPr>
                <w:rFonts w:ascii="Arial" w:hAnsi="Arial" w:cs="Arial"/>
                <w:sz w:val="24"/>
              </w:rPr>
              <w:t xml:space="preserve">ALGORITMO </w:t>
            </w:r>
            <w:r w:rsidR="00A94098">
              <w:rPr>
                <w:rFonts w:ascii="Arial" w:hAnsi="Arial" w:cs="Arial"/>
                <w:sz w:val="24"/>
              </w:rPr>
              <w:t>DE DECISÃO PARA TRAUMA CRANIANO</w:t>
            </w:r>
            <w:r w:rsidR="00867EC7">
              <w:rPr>
                <w:rFonts w:ascii="Arial" w:hAnsi="Arial" w:cs="Arial"/>
                <w:sz w:val="24"/>
              </w:rPr>
              <w:t xml:space="preserve"> LEVE </w:t>
            </w:r>
            <w:r w:rsidR="00C06A5B">
              <w:rPr>
                <w:rFonts w:ascii="Arial" w:hAnsi="Arial" w:cs="Arial"/>
                <w:sz w:val="24"/>
              </w:rPr>
              <w:t>–</w:t>
            </w:r>
            <w:r w:rsidRPr="00A70C99">
              <w:rPr>
                <w:rFonts w:ascii="Arial" w:hAnsi="Arial" w:cs="Arial"/>
                <w:sz w:val="24"/>
              </w:rPr>
              <w:t xml:space="preserve"> PECARN</w:t>
            </w:r>
          </w:p>
        </w:tc>
      </w:tr>
      <w:tr w:rsidR="00A70C99" w14:paraId="7AA59EA1" w14:textId="77777777" w:rsidTr="00C0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595959" w:themeFill="text1" w:themeFillTint="A6"/>
            <w:vAlign w:val="center"/>
          </w:tcPr>
          <w:p w14:paraId="0EF22745" w14:textId="5525E6C5" w:rsidR="00A70C99" w:rsidRPr="00C06A5B" w:rsidRDefault="00C06A5B" w:rsidP="00A70C99">
            <w:pPr>
              <w:jc w:val="center"/>
              <w:rPr>
                <w:rFonts w:ascii="Arial" w:hAnsi="Arial" w:cs="Arial"/>
                <w:sz w:val="24"/>
              </w:rPr>
            </w:pPr>
            <w:r w:rsidRPr="00C06A5B">
              <w:rPr>
                <w:rFonts w:ascii="Arial" w:hAnsi="Arial" w:cs="Arial"/>
                <w:sz w:val="24"/>
              </w:rPr>
              <w:t>Crianças com idade &lt; 2 anos</w:t>
            </w:r>
          </w:p>
        </w:tc>
        <w:tc>
          <w:tcPr>
            <w:tcW w:w="4395" w:type="dxa"/>
            <w:shd w:val="clear" w:color="auto" w:fill="595959" w:themeFill="text1" w:themeFillTint="A6"/>
            <w:vAlign w:val="center"/>
          </w:tcPr>
          <w:p w14:paraId="7AD93A7C" w14:textId="6363F3C6" w:rsidR="00A70C99" w:rsidRPr="00C06A5B" w:rsidRDefault="00C06A5B" w:rsidP="00A7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C06A5B">
              <w:rPr>
                <w:rFonts w:ascii="Arial" w:hAnsi="Arial" w:cs="Arial"/>
                <w:b/>
                <w:sz w:val="24"/>
              </w:rPr>
              <w:t xml:space="preserve">Crianças com idade </w:t>
            </w:r>
            <w:r w:rsidR="00A70C99" w:rsidRPr="00C06A5B">
              <w:rPr>
                <w:rFonts w:ascii="Arial" w:hAnsi="Arial" w:cs="Arial"/>
                <w:b/>
                <w:sz w:val="24"/>
              </w:rPr>
              <w:sym w:font="Symbol" w:char="F0B3"/>
            </w:r>
            <w:r w:rsidRPr="00C06A5B">
              <w:rPr>
                <w:rFonts w:ascii="Arial" w:hAnsi="Arial" w:cs="Arial"/>
                <w:b/>
                <w:sz w:val="24"/>
              </w:rPr>
              <w:t xml:space="preserve"> 2 anos</w:t>
            </w:r>
          </w:p>
        </w:tc>
      </w:tr>
      <w:tr w:rsidR="000D4252" w14:paraId="048E5868" w14:textId="77777777" w:rsidTr="000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2"/>
            <w:shd w:val="clear" w:color="auto" w:fill="D9D9D9" w:themeFill="background1" w:themeFillShade="D9"/>
          </w:tcPr>
          <w:p w14:paraId="6D7D8CC5" w14:textId="0460239E" w:rsidR="000D4252" w:rsidRPr="00C06A5B" w:rsidRDefault="000C07F1" w:rsidP="000D4252">
            <w:pPr>
              <w:jc w:val="center"/>
              <w:rPr>
                <w:rFonts w:ascii="Arial" w:hAnsi="Arial" w:cs="Arial"/>
                <w:b w:val="0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sz w:val="24"/>
                <w:szCs w:val="22"/>
              </w:rPr>
              <w:t>Risco alto de lesões intracranianas</w:t>
            </w:r>
            <w:r w:rsidR="00585B75">
              <w:rPr>
                <w:rFonts w:ascii="Arial" w:hAnsi="Arial" w:cs="Arial"/>
                <w:b w:val="0"/>
                <w:sz w:val="24"/>
                <w:szCs w:val="22"/>
              </w:rPr>
              <w:t>: TC de crânio</w:t>
            </w:r>
          </w:p>
        </w:tc>
      </w:tr>
      <w:tr w:rsidR="000C07F1" w14:paraId="3AFFB6E2" w14:textId="77777777" w:rsidTr="000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63E2448D" w14:textId="513B86B5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ECG </w:t>
            </w:r>
            <w:r w:rsidR="00D36BBA">
              <w:rPr>
                <w:rFonts w:ascii="Arial" w:hAnsi="Arial" w:cs="Arial"/>
                <w:b w:val="0"/>
                <w:sz w:val="22"/>
                <w:szCs w:val="22"/>
              </w:rPr>
              <w:sym w:font="Symbol" w:char="F0A3"/>
            </w:r>
            <w:r w:rsidR="00D36BBA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14:paraId="7A6CCCF4" w14:textId="0FEC34E0" w:rsidR="000C07F1" w:rsidRPr="00C06A5B" w:rsidRDefault="000C07F1" w:rsidP="000C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6A5B">
              <w:rPr>
                <w:rFonts w:ascii="Arial" w:hAnsi="Arial" w:cs="Arial"/>
                <w:sz w:val="22"/>
                <w:szCs w:val="22"/>
              </w:rPr>
              <w:t xml:space="preserve">ECG </w:t>
            </w:r>
            <w:r w:rsidR="00D36BBA">
              <w:rPr>
                <w:rFonts w:ascii="Arial" w:hAnsi="Arial" w:cs="Arial"/>
                <w:sz w:val="22"/>
                <w:szCs w:val="22"/>
              </w:rPr>
              <w:sym w:font="Symbol" w:char="F0A3"/>
            </w:r>
            <w:r w:rsidRPr="00C06A5B">
              <w:rPr>
                <w:rFonts w:ascii="Arial" w:hAnsi="Arial" w:cs="Arial"/>
                <w:sz w:val="22"/>
                <w:szCs w:val="22"/>
              </w:rPr>
              <w:t xml:space="preserve"> 14</w:t>
            </w:r>
          </w:p>
        </w:tc>
      </w:tr>
      <w:tr w:rsidR="000C07F1" w14:paraId="7A74C0E1" w14:textId="77777777" w:rsidTr="000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7F17DAE2" w14:textId="0D7251CA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Alterações do nível de consciência</w:t>
            </w:r>
          </w:p>
        </w:tc>
        <w:tc>
          <w:tcPr>
            <w:tcW w:w="4395" w:type="dxa"/>
            <w:shd w:val="clear" w:color="auto" w:fill="auto"/>
          </w:tcPr>
          <w:p w14:paraId="513507B0" w14:textId="35217A70" w:rsidR="000C07F1" w:rsidRPr="000C07F1" w:rsidRDefault="000C07F1" w:rsidP="000C0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C07F1">
              <w:rPr>
                <w:rFonts w:ascii="Arial" w:hAnsi="Arial" w:cs="Arial"/>
                <w:sz w:val="22"/>
                <w:szCs w:val="22"/>
              </w:rPr>
              <w:t>Alterações do nível de consciência</w:t>
            </w:r>
          </w:p>
        </w:tc>
      </w:tr>
      <w:tr w:rsidR="000C07F1" w14:paraId="4CBB00C2" w14:textId="77777777" w:rsidTr="000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6C185EB0" w14:textId="74CA5D54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>Fratura de crânio palpável</w:t>
            </w:r>
          </w:p>
        </w:tc>
        <w:tc>
          <w:tcPr>
            <w:tcW w:w="4395" w:type="dxa"/>
            <w:shd w:val="clear" w:color="auto" w:fill="auto"/>
          </w:tcPr>
          <w:p w14:paraId="7DF575F4" w14:textId="48463C3C" w:rsidR="000C07F1" w:rsidRPr="00C06A5B" w:rsidRDefault="000C07F1" w:rsidP="000C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6A5B">
              <w:rPr>
                <w:rFonts w:ascii="Arial" w:hAnsi="Arial" w:cs="Arial"/>
                <w:sz w:val="22"/>
                <w:szCs w:val="22"/>
              </w:rPr>
              <w:t>Sinais de fratura de base de crânio</w:t>
            </w:r>
          </w:p>
        </w:tc>
      </w:tr>
      <w:tr w:rsidR="000C07F1" w14:paraId="4F1C507A" w14:textId="77777777" w:rsidTr="000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2"/>
            <w:shd w:val="clear" w:color="auto" w:fill="D9D9D9" w:themeFill="background1" w:themeFillShade="D9"/>
          </w:tcPr>
          <w:p w14:paraId="02569845" w14:textId="7B16414F" w:rsidR="000C07F1" w:rsidRPr="00C06A5B" w:rsidRDefault="000C07F1" w:rsidP="000C07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4"/>
                <w:szCs w:val="22"/>
              </w:rPr>
              <w:t>Risco moderado de lesões intracranianas</w:t>
            </w:r>
            <w:r w:rsidR="00585B75">
              <w:rPr>
                <w:rFonts w:ascii="Arial" w:hAnsi="Arial" w:cs="Arial"/>
                <w:b w:val="0"/>
                <w:sz w:val="24"/>
                <w:szCs w:val="22"/>
              </w:rPr>
              <w:t xml:space="preserve">: TC de crânio ou observação </w:t>
            </w:r>
          </w:p>
        </w:tc>
      </w:tr>
      <w:tr w:rsidR="000C07F1" w14:paraId="3B2CDE54" w14:textId="77777777" w:rsidTr="000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0C48481F" w14:textId="1D443BCF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Hematoma </w:t>
            </w:r>
            <w:proofErr w:type="spellStart"/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>subg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>leal</w:t>
            </w:r>
            <w:proofErr w:type="spellEnd"/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parietal, temporal ou occipital</w:t>
            </w: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ab/>
            </w:r>
          </w:p>
        </w:tc>
        <w:tc>
          <w:tcPr>
            <w:tcW w:w="4395" w:type="dxa"/>
            <w:shd w:val="clear" w:color="auto" w:fill="auto"/>
          </w:tcPr>
          <w:p w14:paraId="4C0371AD" w14:textId="1C068757" w:rsidR="000C07F1" w:rsidRPr="000C07F1" w:rsidRDefault="000C07F1" w:rsidP="000C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C07F1">
              <w:rPr>
                <w:rFonts w:ascii="Arial" w:hAnsi="Arial" w:cs="Arial"/>
                <w:sz w:val="22"/>
                <w:szCs w:val="22"/>
              </w:rPr>
              <w:t>Perda de consciência</w:t>
            </w:r>
          </w:p>
        </w:tc>
      </w:tr>
      <w:tr w:rsidR="000C07F1" w14:paraId="6B4ED1A6" w14:textId="77777777" w:rsidTr="000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4212B2F9" w14:textId="4880DBB2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P</w:t>
            </w: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erda de consciência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&gt;</w:t>
            </w: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 5 segundos</w:t>
            </w:r>
          </w:p>
        </w:tc>
        <w:tc>
          <w:tcPr>
            <w:tcW w:w="4395" w:type="dxa"/>
            <w:shd w:val="clear" w:color="auto" w:fill="auto"/>
          </w:tcPr>
          <w:p w14:paraId="6268D8B7" w14:textId="77412F1D" w:rsidR="000C07F1" w:rsidRPr="00C06A5B" w:rsidRDefault="000C07F1" w:rsidP="000C0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C06A5B">
              <w:rPr>
                <w:rFonts w:ascii="Arial" w:hAnsi="Arial" w:cs="Arial"/>
                <w:sz w:val="22"/>
                <w:szCs w:val="22"/>
              </w:rPr>
              <w:t>ômitos</w:t>
            </w:r>
          </w:p>
        </w:tc>
      </w:tr>
      <w:tr w:rsidR="000C07F1" w14:paraId="2DD78C99" w14:textId="77777777" w:rsidTr="000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7BE5D783" w14:textId="533574B4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Mecanismo de trauma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importante</w:t>
            </w:r>
          </w:p>
        </w:tc>
        <w:tc>
          <w:tcPr>
            <w:tcW w:w="4395" w:type="dxa"/>
            <w:shd w:val="clear" w:color="auto" w:fill="auto"/>
          </w:tcPr>
          <w:p w14:paraId="3B89BAFF" w14:textId="7814A665" w:rsidR="000C07F1" w:rsidRPr="00C06A5B" w:rsidRDefault="000C07F1" w:rsidP="000C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6A5B">
              <w:rPr>
                <w:rFonts w:ascii="Arial" w:hAnsi="Arial" w:cs="Arial"/>
                <w:sz w:val="22"/>
                <w:szCs w:val="22"/>
              </w:rPr>
              <w:t xml:space="preserve">Mecanismo de trauma </w:t>
            </w:r>
            <w:r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000C07F1" w14:paraId="7D96A744" w14:textId="77777777" w:rsidTr="000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  <w:shd w:val="clear" w:color="auto" w:fill="auto"/>
          </w:tcPr>
          <w:p w14:paraId="11D53CC7" w14:textId="02CA0427" w:rsidR="000C07F1" w:rsidRPr="00C06A5B" w:rsidRDefault="000C07F1" w:rsidP="000C07F1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Mudança de comportamento</w:t>
            </w:r>
            <w:r w:rsidRPr="00C06A5B">
              <w:rPr>
                <w:rFonts w:ascii="Arial" w:hAnsi="Arial" w:cs="Arial"/>
                <w:b w:val="0"/>
                <w:sz w:val="22"/>
                <w:szCs w:val="22"/>
              </w:rPr>
              <w:t xml:space="preserve"> segundo os pais</w:t>
            </w:r>
          </w:p>
        </w:tc>
        <w:tc>
          <w:tcPr>
            <w:tcW w:w="4395" w:type="dxa"/>
            <w:shd w:val="clear" w:color="auto" w:fill="auto"/>
          </w:tcPr>
          <w:p w14:paraId="3C89628E" w14:textId="49E984D0" w:rsidR="000C07F1" w:rsidRPr="00C06A5B" w:rsidRDefault="000C07F1" w:rsidP="000C0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06A5B">
              <w:rPr>
                <w:rFonts w:ascii="Arial" w:hAnsi="Arial" w:cs="Arial"/>
                <w:sz w:val="22"/>
                <w:szCs w:val="22"/>
              </w:rPr>
              <w:t xml:space="preserve">Cefaleia </w:t>
            </w:r>
            <w:r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</w:tbl>
    <w:p w14:paraId="2390B258" w14:textId="01169757" w:rsidR="00A70C99" w:rsidRDefault="00A70C99" w:rsidP="00A70C99">
      <w:pPr>
        <w:ind w:left="993"/>
        <w:jc w:val="both"/>
        <w:rPr>
          <w:rFonts w:ascii="Arial" w:hAnsi="Arial" w:cs="Arial"/>
          <w:sz w:val="24"/>
        </w:rPr>
      </w:pPr>
    </w:p>
    <w:p w14:paraId="65C4EC2A" w14:textId="77777777" w:rsidR="00DC2730" w:rsidRPr="00F11DFB" w:rsidRDefault="00DC2730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675F578A" w14:textId="6ABC6475" w:rsidR="00585B75" w:rsidRPr="00585B75" w:rsidRDefault="0044015A" w:rsidP="00556B24">
      <w:pPr>
        <w:pStyle w:val="PargrafodaLista"/>
        <w:numPr>
          <w:ilvl w:val="0"/>
          <w:numId w:val="1"/>
        </w:numPr>
        <w:spacing w:line="276" w:lineRule="auto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Critérios de alta hospitalar</w:t>
      </w:r>
      <w:r w:rsidR="00416765" w:rsidRPr="00F11DFB">
        <w:rPr>
          <w:rFonts w:ascii="Arial" w:hAnsi="Arial" w:cs="Arial"/>
          <w:sz w:val="24"/>
        </w:rPr>
        <w:t>:</w:t>
      </w:r>
      <w:r w:rsidR="00416765" w:rsidRPr="00F11DFB">
        <w:t xml:space="preserve"> </w:t>
      </w:r>
    </w:p>
    <w:p w14:paraId="52F00363" w14:textId="77777777" w:rsidR="00416765" w:rsidRPr="00F11DFB" w:rsidRDefault="00416765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08624462" w14:textId="2B391A3F" w:rsidR="0044015A" w:rsidRDefault="0044015A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Pacientes de baixo risco para lesões intracranianas, ou seja, que não preencham os critérios acima descritos, podem receber alta hospitalar com orientações para observação domiciliar e retorno se sinais de alarme;</w:t>
      </w:r>
    </w:p>
    <w:p w14:paraId="48B0BB74" w14:textId="77777777" w:rsidR="00D2201C" w:rsidRDefault="00D2201C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4F5A1606" w14:textId="60D036A6" w:rsidR="00CF6B8A" w:rsidRPr="00556B24" w:rsidRDefault="0044015A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 xml:space="preserve">Pacientes de risco moderado / alto, submetidos a TC de crânio normal </w:t>
      </w:r>
      <w:r w:rsidR="00D2201C">
        <w:rPr>
          <w:rFonts w:ascii="Arial" w:hAnsi="Arial" w:cs="Arial"/>
          <w:sz w:val="24"/>
        </w:rPr>
        <w:t xml:space="preserve">devem permanecer em </w:t>
      </w:r>
      <w:r>
        <w:rPr>
          <w:rFonts w:ascii="Arial" w:hAnsi="Arial" w:cs="Arial"/>
          <w:sz w:val="24"/>
        </w:rPr>
        <w:t xml:space="preserve">observação por 4-6 horas, com anotação dos sinais vitais e estado neurológico (FC, PA, ECG, diâmetro e reflexo </w:t>
      </w:r>
      <w:r w:rsidR="00556B24">
        <w:rPr>
          <w:rFonts w:ascii="Arial" w:hAnsi="Arial" w:cs="Arial"/>
          <w:sz w:val="24"/>
        </w:rPr>
        <w:t>pupilar), pelo menos a cada</w:t>
      </w:r>
    </w:p>
    <w:p w14:paraId="28EB4D25" w14:textId="2CA6FEE3" w:rsidR="0044015A" w:rsidRDefault="0044015A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30 minutos nas primeiras 2 horas, a cada hora até 4 horas e a cada 2 horas </w:t>
      </w:r>
      <w:r w:rsidR="00D2201C">
        <w:rPr>
          <w:rFonts w:ascii="Arial" w:hAnsi="Arial" w:cs="Arial"/>
          <w:sz w:val="24"/>
        </w:rPr>
        <w:t xml:space="preserve">após. Alta de após este período </w:t>
      </w:r>
      <w:r w:rsidR="00CF6B8A">
        <w:rPr>
          <w:rFonts w:ascii="Arial" w:hAnsi="Arial" w:cs="Arial"/>
          <w:sz w:val="24"/>
        </w:rPr>
        <w:t xml:space="preserve">se </w:t>
      </w:r>
      <w:r w:rsidR="00D2201C">
        <w:rPr>
          <w:rFonts w:ascii="Arial" w:hAnsi="Arial" w:cs="Arial"/>
          <w:sz w:val="24"/>
        </w:rPr>
        <w:t xml:space="preserve">apresentar </w:t>
      </w:r>
      <w:r>
        <w:rPr>
          <w:rFonts w:ascii="Arial" w:hAnsi="Arial" w:cs="Arial"/>
          <w:sz w:val="24"/>
        </w:rPr>
        <w:t>ECG = 15.</w:t>
      </w:r>
    </w:p>
    <w:p w14:paraId="6DA62641" w14:textId="1D8D0CC7" w:rsidR="0044015A" w:rsidRDefault="0044015A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472FFE9E" w14:textId="77777777" w:rsidR="00CF6B8A" w:rsidRPr="00D2201C" w:rsidRDefault="00CF6B8A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790C0D04" w14:textId="20C4C5C9" w:rsidR="0044015A" w:rsidRPr="00585B75" w:rsidRDefault="0044015A" w:rsidP="00556B24">
      <w:pPr>
        <w:pStyle w:val="PargrafodaLista"/>
        <w:numPr>
          <w:ilvl w:val="0"/>
          <w:numId w:val="1"/>
        </w:numPr>
        <w:spacing w:line="276" w:lineRule="auto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Critérios de internação e avaliação do especialista</w:t>
      </w:r>
      <w:r w:rsidRPr="00F11DFB">
        <w:rPr>
          <w:rFonts w:ascii="Arial" w:hAnsi="Arial" w:cs="Arial"/>
          <w:sz w:val="24"/>
        </w:rPr>
        <w:t>:</w:t>
      </w:r>
      <w:r w:rsidRPr="00F11DFB">
        <w:t xml:space="preserve"> </w:t>
      </w:r>
    </w:p>
    <w:p w14:paraId="624C8938" w14:textId="77777777" w:rsidR="0044015A" w:rsidRDefault="0044015A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7DED8DE0" w14:textId="4B969D47" w:rsidR="00D2201C" w:rsidRDefault="00416765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D2201C">
        <w:rPr>
          <w:rFonts w:ascii="Arial" w:hAnsi="Arial" w:cs="Arial"/>
          <w:sz w:val="24"/>
        </w:rPr>
        <w:t>Pacientes com alteração na TC de crânio;</w:t>
      </w:r>
    </w:p>
    <w:p w14:paraId="6C1C9098" w14:textId="2669667D" w:rsidR="00D2201C" w:rsidRDefault="00D2201C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Paciente que não apresenta ECG = 15 após realização da TC de crânio, independente do resultado do exame;</w:t>
      </w:r>
    </w:p>
    <w:p w14:paraId="348D9038" w14:textId="57204685" w:rsidR="00D2201C" w:rsidRDefault="00D2201C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Paciente com indicação de realizar a TC de </w:t>
      </w:r>
      <w:r w:rsidR="00A94098">
        <w:rPr>
          <w:rFonts w:ascii="Arial" w:hAnsi="Arial" w:cs="Arial"/>
          <w:sz w:val="24"/>
        </w:rPr>
        <w:t>crânio,</w:t>
      </w:r>
      <w:r>
        <w:rPr>
          <w:rFonts w:ascii="Arial" w:hAnsi="Arial" w:cs="Arial"/>
          <w:sz w:val="24"/>
        </w:rPr>
        <w:t xml:space="preserve"> mas que não tenha realizado por qualquer condição (indisponibilidade, agitação) deve permanecer em observação por pelo menos 12 horas;</w:t>
      </w:r>
    </w:p>
    <w:p w14:paraId="631557EA" w14:textId="186D81ED" w:rsidR="00D2201C" w:rsidRDefault="00D2201C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Persistência dos sinais de alerta – vômitos, cefaleia intensa e refrataria, rebai</w:t>
      </w:r>
      <w:r w:rsidR="00556B24">
        <w:rPr>
          <w:rFonts w:ascii="Arial" w:hAnsi="Arial" w:cs="Arial"/>
          <w:sz w:val="24"/>
        </w:rPr>
        <w:t>xamento do nível de consciência;</w:t>
      </w:r>
    </w:p>
    <w:p w14:paraId="3C1E127A" w14:textId="42E9712B" w:rsidR="00556B24" w:rsidRDefault="00556B24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Piora importante da cefaleia durante o período de observação;</w:t>
      </w:r>
    </w:p>
    <w:p w14:paraId="46368B7A" w14:textId="13B5CF30" w:rsidR="00D2201C" w:rsidRPr="00D2201C" w:rsidRDefault="00D2201C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Outras condições clínicas como alteração da coagulação, intoxicação, suspeita de maus tratos, outras lesões).</w:t>
      </w:r>
    </w:p>
    <w:p w14:paraId="030058D1" w14:textId="2520B273" w:rsidR="00416765" w:rsidRPr="00D2201C" w:rsidRDefault="00416765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4EA4FB19" w14:textId="2ECD743E" w:rsidR="00DC2730" w:rsidRDefault="00DC2730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1AF1449E" w14:textId="34E22FED" w:rsidR="00556B24" w:rsidRDefault="00556B24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6455585C" w14:textId="77777777" w:rsidR="00556B24" w:rsidRPr="00F11DFB" w:rsidRDefault="00556B24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3F5BFD7A" w14:textId="77777777" w:rsidR="00416765" w:rsidRPr="00F11DFB" w:rsidRDefault="00416765" w:rsidP="00556B24">
      <w:pPr>
        <w:pStyle w:val="PargrafodaLista"/>
        <w:numPr>
          <w:ilvl w:val="0"/>
          <w:numId w:val="1"/>
        </w:numPr>
        <w:spacing w:line="276" w:lineRule="auto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Complicações mais frequentes:</w:t>
      </w:r>
      <w:r w:rsidRPr="00F11DFB">
        <w:t xml:space="preserve"> </w:t>
      </w:r>
    </w:p>
    <w:p w14:paraId="471809F6" w14:textId="77777777" w:rsidR="00416765" w:rsidRPr="00F11DFB" w:rsidRDefault="00416765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2AD47498" w14:textId="100102FE" w:rsidR="00416765" w:rsidRPr="00F11DFB" w:rsidRDefault="00416765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Rebaixamento do nível de consciência</w:t>
      </w:r>
      <w:r w:rsidR="00D2201C">
        <w:rPr>
          <w:rFonts w:ascii="Arial" w:hAnsi="Arial" w:cs="Arial"/>
          <w:sz w:val="24"/>
        </w:rPr>
        <w:t xml:space="preserve"> ou agitação</w:t>
      </w:r>
      <w:r w:rsidRPr="00F11DFB">
        <w:rPr>
          <w:rFonts w:ascii="Arial" w:hAnsi="Arial" w:cs="Arial"/>
          <w:sz w:val="24"/>
        </w:rPr>
        <w:t xml:space="preserve"> secundário</w:t>
      </w:r>
      <w:r w:rsidR="00D2201C">
        <w:rPr>
          <w:rFonts w:ascii="Arial" w:hAnsi="Arial" w:cs="Arial"/>
          <w:sz w:val="24"/>
        </w:rPr>
        <w:t>s</w:t>
      </w:r>
      <w:r w:rsidRPr="00F11DFB">
        <w:rPr>
          <w:rFonts w:ascii="Arial" w:hAnsi="Arial" w:cs="Arial"/>
          <w:sz w:val="24"/>
        </w:rPr>
        <w:t xml:space="preserve"> </w:t>
      </w:r>
      <w:r w:rsidR="00D2201C">
        <w:rPr>
          <w:rFonts w:ascii="Arial" w:hAnsi="Arial" w:cs="Arial"/>
          <w:sz w:val="24"/>
        </w:rPr>
        <w:t xml:space="preserve">a hipertensão intracraniana por edema cerebral ou hematoma. </w:t>
      </w:r>
    </w:p>
    <w:p w14:paraId="3389B0E7" w14:textId="77777777" w:rsidR="00416765" w:rsidRPr="00F11DFB" w:rsidRDefault="00416765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020F9B8D" w14:textId="485D4838" w:rsidR="00D2201C" w:rsidRPr="00D2201C" w:rsidRDefault="00D2201C" w:rsidP="00556B24">
      <w:pPr>
        <w:spacing w:line="276" w:lineRule="auto"/>
        <w:jc w:val="both"/>
        <w:rPr>
          <w:rFonts w:ascii="Arial" w:hAnsi="Arial" w:cs="Arial"/>
          <w:sz w:val="24"/>
        </w:rPr>
      </w:pPr>
    </w:p>
    <w:p w14:paraId="4EBB012E" w14:textId="77777777" w:rsidR="00980A41" w:rsidRPr="00F11DFB" w:rsidRDefault="00980A41" w:rsidP="00556B24">
      <w:pPr>
        <w:pStyle w:val="PargrafodaLista"/>
        <w:numPr>
          <w:ilvl w:val="0"/>
          <w:numId w:val="1"/>
        </w:numPr>
        <w:spacing w:line="276" w:lineRule="auto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Observações:</w:t>
      </w:r>
    </w:p>
    <w:p w14:paraId="772929A2" w14:textId="77777777" w:rsidR="004F7035" w:rsidRPr="00F11DFB" w:rsidRDefault="004F7035" w:rsidP="00556B24">
      <w:pPr>
        <w:pStyle w:val="PargrafodaLista"/>
        <w:spacing w:line="276" w:lineRule="auto"/>
        <w:ind w:left="993"/>
        <w:jc w:val="both"/>
        <w:rPr>
          <w:rFonts w:ascii="Arial" w:hAnsi="Arial" w:cs="Arial"/>
          <w:sz w:val="24"/>
        </w:rPr>
      </w:pPr>
    </w:p>
    <w:p w14:paraId="012F2996" w14:textId="3D7BB093" w:rsidR="00980A41" w:rsidRDefault="00980A41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D2201C">
        <w:rPr>
          <w:rFonts w:ascii="Arial" w:hAnsi="Arial" w:cs="Arial"/>
          <w:sz w:val="24"/>
        </w:rPr>
        <w:t xml:space="preserve">Embora haja um risco baixo, lesões encefálicas </w:t>
      </w:r>
      <w:r w:rsidR="00851B00">
        <w:rPr>
          <w:rFonts w:ascii="Arial" w:hAnsi="Arial" w:cs="Arial"/>
          <w:sz w:val="24"/>
        </w:rPr>
        <w:t xml:space="preserve">podem ocorrer </w:t>
      </w:r>
      <w:r w:rsidR="00D2201C">
        <w:rPr>
          <w:rFonts w:ascii="Arial" w:hAnsi="Arial" w:cs="Arial"/>
          <w:sz w:val="24"/>
        </w:rPr>
        <w:t xml:space="preserve">em pacientes de baixo risco. Por isso, todo paciente atendido após TCE deve receber orientações, de preferência por escrito, </w:t>
      </w:r>
      <w:r w:rsidR="00556B24">
        <w:rPr>
          <w:rFonts w:ascii="Arial" w:hAnsi="Arial" w:cs="Arial"/>
          <w:sz w:val="24"/>
        </w:rPr>
        <w:t xml:space="preserve">das </w:t>
      </w:r>
      <w:r w:rsidR="00D2201C">
        <w:rPr>
          <w:rFonts w:ascii="Arial" w:hAnsi="Arial" w:cs="Arial"/>
          <w:sz w:val="24"/>
        </w:rPr>
        <w:t>instruções que devem ser seguidas após a alta.</w:t>
      </w:r>
    </w:p>
    <w:p w14:paraId="152C3D0B" w14:textId="5D2E83D2" w:rsidR="00D2201C" w:rsidRDefault="00D2201C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5B3D9B81" w14:textId="4B029895" w:rsidR="00FF7094" w:rsidRDefault="00D2201C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Importante ressaltar ao responsável que as primeiras 48 horas são consideradas as mais críticas e que, durante este período, </w:t>
      </w:r>
      <w:r w:rsidR="00FF7094">
        <w:rPr>
          <w:rFonts w:ascii="Arial" w:hAnsi="Arial" w:cs="Arial"/>
          <w:sz w:val="24"/>
        </w:rPr>
        <w:t xml:space="preserve">a criança deve permanecer acompanhada de um adulto capaz de auxiliá-la e levá-la ao hospital em caso de </w:t>
      </w:r>
      <w:r w:rsidR="00556B24">
        <w:rPr>
          <w:rFonts w:ascii="Arial" w:hAnsi="Arial" w:cs="Arial"/>
          <w:sz w:val="24"/>
        </w:rPr>
        <w:t>piora do quadro clínico.</w:t>
      </w:r>
      <w:r w:rsidR="00FF7094">
        <w:rPr>
          <w:rFonts w:ascii="Arial" w:hAnsi="Arial" w:cs="Arial"/>
          <w:sz w:val="24"/>
        </w:rPr>
        <w:t xml:space="preserve"> </w:t>
      </w:r>
    </w:p>
    <w:p w14:paraId="7F943E68" w14:textId="77777777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5C83EB4D" w14:textId="10F15E35" w:rsidR="00D2201C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Nas primeiras 24 horas, é recomendado que alguém verifique se a criança está bem a cada 3-4 horas.</w:t>
      </w:r>
    </w:p>
    <w:p w14:paraId="53AAF113" w14:textId="5FEF5671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7BD42682" w14:textId="7AC0DA3C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Prescrever analgesia com analgésicos comuns ou AINES (dipirona, paracetamo</w:t>
      </w:r>
      <w:r w:rsidR="00556B24">
        <w:rPr>
          <w:rFonts w:ascii="Arial" w:hAnsi="Arial" w:cs="Arial"/>
          <w:sz w:val="24"/>
        </w:rPr>
        <w:t xml:space="preserve">l, ibuprofeno), caso necessário. Evitar uso de </w:t>
      </w:r>
      <w:r w:rsidR="00B077A2">
        <w:rPr>
          <w:rFonts w:ascii="Arial" w:hAnsi="Arial" w:cs="Arial"/>
          <w:sz w:val="24"/>
        </w:rPr>
        <w:t>opioides</w:t>
      </w:r>
      <w:r w:rsidR="00556B2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Nunca prescrever medicações que possam alterar o nível de consciência (ex. antieméticos, antialérgicos).</w:t>
      </w:r>
    </w:p>
    <w:p w14:paraId="005689A1" w14:textId="12EAA541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6765ED23" w14:textId="79A2390C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Indicar o afastamento de atividades esportivas por pelo menos 48 horas.</w:t>
      </w:r>
    </w:p>
    <w:p w14:paraId="5630C414" w14:textId="27DF1234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33CA0DB0" w14:textId="43348817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Indicar retornar ao pronto socorro em casos de:</w:t>
      </w:r>
    </w:p>
    <w:p w14:paraId="5155B1B9" w14:textId="77777777" w:rsidR="00556B24" w:rsidRDefault="00556B2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767E5272" w14:textId="573FF6F7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Perda de consciência, desmaios ou sonolência excessiva;  </w:t>
      </w:r>
    </w:p>
    <w:p w14:paraId="4BF247EF" w14:textId="7B70AD32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Alteração do tamanho ou discrepância entre as pupilas;</w:t>
      </w:r>
    </w:p>
    <w:p w14:paraId="36FB8175" w14:textId="1FD85F7F" w:rsidR="00CF6B8A" w:rsidRPr="00556B2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Abaulamento da fontanela;</w:t>
      </w:r>
    </w:p>
    <w:p w14:paraId="486D103C" w14:textId="15D8917C" w:rsidR="00FF7094" w:rsidRDefault="00CF6B8A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FF7094">
        <w:rPr>
          <w:rFonts w:ascii="Arial" w:hAnsi="Arial" w:cs="Arial"/>
          <w:sz w:val="24"/>
        </w:rPr>
        <w:t xml:space="preserve">  * Dor de cabeça forte e persistente, apesar do uso de analgésicos;</w:t>
      </w:r>
    </w:p>
    <w:p w14:paraId="713690CA" w14:textId="10FEC6B8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Irritabilidade excessiva ou recusa das mamadas;</w:t>
      </w:r>
    </w:p>
    <w:p w14:paraId="44B6197D" w14:textId="72782A0A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Fraqueza nos membros, sensação de formigamento ou adormecimentos de partes do corpo;</w:t>
      </w:r>
    </w:p>
    <w:p w14:paraId="06F1BFD1" w14:textId="623706DF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Náuseas ou vômitos persistentes (&gt; 2 episódios);</w:t>
      </w:r>
    </w:p>
    <w:p w14:paraId="1D551CE8" w14:textId="35F58AAE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Perda de memória ou não conseguir reconhecer pessoas / lugares;</w:t>
      </w:r>
    </w:p>
    <w:p w14:paraId="18B88602" w14:textId="6431491F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Mudança de comportamento, como falar coisas sem sentido ou agir de forma estranha / inadequada;</w:t>
      </w:r>
    </w:p>
    <w:p w14:paraId="51CF1DA7" w14:textId="27AE51E2" w:rsidR="007C69F0" w:rsidRDefault="007C69F0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Diminuição da atividade normal da criança, apesar dos estímulos;</w:t>
      </w:r>
    </w:p>
    <w:p w14:paraId="4A0E6DA1" w14:textId="392BA347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Alteração visual ou fala incompreensível;</w:t>
      </w:r>
    </w:p>
    <w:p w14:paraId="5A23BD2C" w14:textId="77777777" w:rsidR="00556B24" w:rsidRDefault="00556B2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</w:p>
    <w:p w14:paraId="2612D19B" w14:textId="608EFDC3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Crises epilépticas;</w:t>
      </w:r>
    </w:p>
    <w:p w14:paraId="68AA0E55" w14:textId="2DEFCFC3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Alteração do equilíbrio ou tontura;</w:t>
      </w:r>
    </w:p>
    <w:p w14:paraId="6402435B" w14:textId="0285E831" w:rsidR="00FF7094" w:rsidRDefault="00FF7094" w:rsidP="00556B24">
      <w:pPr>
        <w:pStyle w:val="PargrafodaLista"/>
        <w:spacing w:line="276" w:lineRule="auto"/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* Sangramento nasal ou pela orelha.</w:t>
      </w:r>
    </w:p>
    <w:p w14:paraId="566A7444" w14:textId="77777777" w:rsidR="00FF7094" w:rsidRPr="00FF7094" w:rsidRDefault="00FF7094" w:rsidP="00FF7094">
      <w:pPr>
        <w:pStyle w:val="PargrafodaLista"/>
        <w:ind w:left="992"/>
        <w:jc w:val="both"/>
        <w:rPr>
          <w:rFonts w:ascii="Arial" w:hAnsi="Arial" w:cs="Arial"/>
          <w:sz w:val="24"/>
        </w:rPr>
      </w:pPr>
    </w:p>
    <w:p w14:paraId="66E20412" w14:textId="240E9FF9" w:rsidR="00980A41" w:rsidRPr="00851B00" w:rsidRDefault="00980A41" w:rsidP="00851B00">
      <w:pPr>
        <w:jc w:val="both"/>
        <w:rPr>
          <w:rFonts w:ascii="Arial" w:hAnsi="Arial" w:cs="Arial"/>
          <w:sz w:val="24"/>
        </w:rPr>
      </w:pPr>
    </w:p>
    <w:p w14:paraId="07C31E21" w14:textId="77777777" w:rsidR="005B40BA" w:rsidRPr="00F11DFB" w:rsidRDefault="00086D85" w:rsidP="005B40BA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Referências</w:t>
      </w:r>
      <w:r w:rsidR="005B40BA" w:rsidRPr="00F11DFB">
        <w:rPr>
          <w:rFonts w:ascii="Arial" w:hAnsi="Arial" w:cs="Arial"/>
          <w:sz w:val="24"/>
        </w:rPr>
        <w:t>:</w:t>
      </w:r>
    </w:p>
    <w:p w14:paraId="63678791" w14:textId="77777777" w:rsidR="00980A41" w:rsidRPr="00F11DFB" w:rsidRDefault="005B40BA" w:rsidP="005B40BA">
      <w:pPr>
        <w:pStyle w:val="PargrafodaLista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fldChar w:fldCharType="begin"/>
      </w:r>
      <w:r w:rsidRPr="00F11DFB">
        <w:rPr>
          <w:rFonts w:ascii="Arial" w:hAnsi="Arial" w:cs="Arial"/>
          <w:sz w:val="24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end"/>
      </w:r>
    </w:p>
    <w:p w14:paraId="0F6E0656" w14:textId="5DFB8CD1" w:rsidR="00556B24" w:rsidRDefault="005B40BA" w:rsidP="00BB706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11DFB">
        <w:rPr>
          <w:rFonts w:ascii="Arial" w:hAnsi="Arial" w:cs="Arial"/>
          <w:sz w:val="24"/>
        </w:rPr>
        <w:fldChar w:fldCharType="begin"/>
      </w:r>
      <w:r w:rsidRPr="00BD1DE0">
        <w:rPr>
          <w:rFonts w:ascii="Arial" w:hAnsi="Arial" w:cs="Arial"/>
          <w:sz w:val="24"/>
          <w:lang w:val="en-US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separate"/>
      </w:r>
      <w:r w:rsidRPr="00BD1DE0">
        <w:rPr>
          <w:rFonts w:ascii="Arial" w:hAnsi="Arial" w:cs="Arial"/>
          <w:sz w:val="24"/>
          <w:lang w:val="en-US"/>
        </w:rPr>
        <w:t>1.</w:t>
      </w:r>
      <w:r w:rsidRPr="00BD1DE0">
        <w:rPr>
          <w:rFonts w:ascii="Arial" w:hAnsi="Arial" w:cs="Arial"/>
          <w:sz w:val="24"/>
          <w:lang w:val="en-US"/>
        </w:rPr>
        <w:tab/>
      </w:r>
      <w:r w:rsidR="00556B24">
        <w:rPr>
          <w:rFonts w:ascii="Arial" w:hAnsi="Arial" w:cs="Arial"/>
          <w:sz w:val="24"/>
          <w:lang w:val="en-US"/>
        </w:rPr>
        <w:t>Lumba-Brown A, Yeates KO</w:t>
      </w:r>
      <w:r w:rsidR="00556B24" w:rsidRPr="00556B24">
        <w:rPr>
          <w:rFonts w:ascii="Arial" w:hAnsi="Arial" w:cs="Arial"/>
          <w:sz w:val="24"/>
          <w:lang w:val="en-US"/>
        </w:rPr>
        <w:t>, Sarmiento K</w:t>
      </w:r>
      <w:r w:rsidR="00556B24">
        <w:rPr>
          <w:rFonts w:ascii="Arial" w:hAnsi="Arial" w:cs="Arial"/>
          <w:sz w:val="24"/>
          <w:lang w:val="en-US"/>
        </w:rPr>
        <w:t>, et al.</w:t>
      </w:r>
      <w:r w:rsidR="00BB7065">
        <w:rPr>
          <w:rFonts w:ascii="Arial" w:hAnsi="Arial" w:cs="Arial"/>
          <w:sz w:val="24"/>
          <w:lang w:val="en-US"/>
        </w:rPr>
        <w:t xml:space="preserve"> </w:t>
      </w:r>
      <w:r w:rsidR="00BB7065" w:rsidRPr="00BB7065">
        <w:rPr>
          <w:rFonts w:ascii="Arial" w:hAnsi="Arial" w:cs="Arial"/>
          <w:sz w:val="24"/>
          <w:lang w:val="en-US"/>
        </w:rPr>
        <w:t>Centers for Disease Control and Prevention Guideline on the Diagnosis and Management of Mild Traumatic Brain Injury Among Children.</w:t>
      </w:r>
      <w:r w:rsidR="00BB7065">
        <w:rPr>
          <w:rFonts w:ascii="Arial" w:hAnsi="Arial" w:cs="Arial"/>
          <w:sz w:val="24"/>
          <w:lang w:val="en-US"/>
        </w:rPr>
        <w:t xml:space="preserve"> </w:t>
      </w:r>
      <w:r w:rsidR="00BB7065" w:rsidRPr="00BB7065">
        <w:rPr>
          <w:rFonts w:ascii="Arial" w:hAnsi="Arial" w:cs="Arial"/>
          <w:sz w:val="24"/>
          <w:lang w:val="en-US"/>
        </w:rPr>
        <w:t>JAMA Pediatr. 2018 Sep 4:e182853.</w:t>
      </w:r>
    </w:p>
    <w:p w14:paraId="14C19367" w14:textId="77777777" w:rsidR="00556B24" w:rsidRDefault="00556B24" w:rsidP="00042543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15C8ACA1" w14:textId="167163D2" w:rsidR="005B40BA" w:rsidRPr="00BD1DE0" w:rsidRDefault="00556B24" w:rsidP="00042543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 </w:t>
      </w:r>
      <w:r w:rsidR="00042543" w:rsidRPr="00042543">
        <w:rPr>
          <w:rFonts w:ascii="Arial" w:hAnsi="Arial" w:cs="Arial"/>
          <w:sz w:val="24"/>
          <w:lang w:val="en-US"/>
        </w:rPr>
        <w:t>Kuppermann N, Holmes JF, Dayan PS, et al. Identification of children</w:t>
      </w:r>
      <w:r w:rsidR="00042543">
        <w:rPr>
          <w:rFonts w:ascii="Arial" w:hAnsi="Arial" w:cs="Arial"/>
          <w:sz w:val="24"/>
          <w:lang w:val="en-US"/>
        </w:rPr>
        <w:t xml:space="preserve"> </w:t>
      </w:r>
      <w:r w:rsidR="00042543" w:rsidRPr="00042543">
        <w:rPr>
          <w:rFonts w:ascii="Arial" w:hAnsi="Arial" w:cs="Arial"/>
          <w:sz w:val="24"/>
          <w:lang w:val="en-US"/>
        </w:rPr>
        <w:t>at very low risk of clinically-important brain injuries after head</w:t>
      </w:r>
      <w:r w:rsidR="00042543">
        <w:rPr>
          <w:rFonts w:ascii="Arial" w:hAnsi="Arial" w:cs="Arial"/>
          <w:sz w:val="24"/>
          <w:lang w:val="en-US"/>
        </w:rPr>
        <w:t xml:space="preserve"> </w:t>
      </w:r>
      <w:r w:rsidR="00042543" w:rsidRPr="00042543">
        <w:rPr>
          <w:rFonts w:ascii="Arial" w:hAnsi="Arial" w:cs="Arial"/>
          <w:sz w:val="24"/>
          <w:lang w:val="en-US"/>
        </w:rPr>
        <w:t>trauma: a prospective cohort study. Lancet. 2009;374:1160-70.</w:t>
      </w:r>
    </w:p>
    <w:p w14:paraId="4E9365FE" w14:textId="77777777" w:rsidR="005B40BA" w:rsidRPr="00BD1DE0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6AAE4CA9" w14:textId="7EBC6D21" w:rsidR="005B40BA" w:rsidRDefault="00BB7065" w:rsidP="00042543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</w:t>
      </w:r>
      <w:r w:rsidR="005B40BA" w:rsidRPr="00BD1DE0">
        <w:rPr>
          <w:rFonts w:ascii="Arial" w:hAnsi="Arial" w:cs="Arial"/>
          <w:sz w:val="24"/>
          <w:lang w:val="en-US"/>
        </w:rPr>
        <w:t>.</w:t>
      </w:r>
      <w:r w:rsidR="005B40BA" w:rsidRPr="00BD1DE0">
        <w:rPr>
          <w:rFonts w:ascii="Arial" w:hAnsi="Arial" w:cs="Arial"/>
          <w:sz w:val="24"/>
          <w:lang w:val="en-US"/>
        </w:rPr>
        <w:tab/>
      </w:r>
      <w:r w:rsidR="00042543" w:rsidRPr="00042543">
        <w:rPr>
          <w:rFonts w:ascii="Arial" w:hAnsi="Arial" w:cs="Arial"/>
          <w:sz w:val="24"/>
          <w:lang w:val="en-US"/>
        </w:rPr>
        <w:t>Brenner DJ, Hall EJ. Computed tomography - An increasing source</w:t>
      </w:r>
      <w:r w:rsidR="00042543">
        <w:rPr>
          <w:rFonts w:ascii="Arial" w:hAnsi="Arial" w:cs="Arial"/>
          <w:sz w:val="24"/>
          <w:lang w:val="en-US"/>
        </w:rPr>
        <w:t xml:space="preserve"> </w:t>
      </w:r>
      <w:r w:rsidR="00042543" w:rsidRPr="00042543">
        <w:rPr>
          <w:rFonts w:ascii="Arial" w:hAnsi="Arial" w:cs="Arial"/>
          <w:sz w:val="24"/>
          <w:lang w:val="en-US"/>
        </w:rPr>
        <w:t>of radiation exposure. N Engl J Med. 2007;357: 2277-84.</w:t>
      </w:r>
    </w:p>
    <w:p w14:paraId="508BF308" w14:textId="77777777" w:rsidR="00042543" w:rsidRPr="00BD1DE0" w:rsidRDefault="00042543" w:rsidP="00042543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3BBFDF0A" w14:textId="27D349A7" w:rsidR="005B40BA" w:rsidRPr="00BD1DE0" w:rsidRDefault="00BB7065" w:rsidP="00042543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</w:t>
      </w:r>
      <w:r w:rsidR="005B40BA" w:rsidRPr="00BD1DE0">
        <w:rPr>
          <w:rFonts w:ascii="Arial" w:hAnsi="Arial" w:cs="Arial"/>
          <w:sz w:val="24"/>
          <w:lang w:val="en-US"/>
        </w:rPr>
        <w:t>.</w:t>
      </w:r>
      <w:r w:rsidR="005B40BA" w:rsidRPr="00BD1DE0">
        <w:rPr>
          <w:rFonts w:ascii="Arial" w:hAnsi="Arial" w:cs="Arial"/>
          <w:sz w:val="24"/>
          <w:lang w:val="en-US"/>
        </w:rPr>
        <w:tab/>
      </w:r>
      <w:r w:rsidR="00042543" w:rsidRPr="00042543">
        <w:rPr>
          <w:rFonts w:ascii="Arial" w:hAnsi="Arial" w:cs="Arial"/>
          <w:sz w:val="24"/>
          <w:lang w:val="en-US"/>
        </w:rPr>
        <w:t>Haydel MJ, Preston CA, Mills TJ, et al. Indications for computed</w:t>
      </w:r>
      <w:r w:rsidR="00042543">
        <w:rPr>
          <w:rFonts w:ascii="Arial" w:hAnsi="Arial" w:cs="Arial"/>
          <w:sz w:val="24"/>
          <w:lang w:val="en-US"/>
        </w:rPr>
        <w:t xml:space="preserve"> </w:t>
      </w:r>
      <w:r w:rsidR="00042543" w:rsidRPr="00042543">
        <w:rPr>
          <w:rFonts w:ascii="Arial" w:hAnsi="Arial" w:cs="Arial"/>
          <w:sz w:val="24"/>
          <w:lang w:val="en-US"/>
        </w:rPr>
        <w:t>tomography in patients with minor head injury. N Engl J Med.</w:t>
      </w:r>
      <w:r w:rsidR="00042543">
        <w:rPr>
          <w:rFonts w:ascii="Arial" w:hAnsi="Arial" w:cs="Arial"/>
          <w:sz w:val="24"/>
          <w:lang w:val="en-US"/>
        </w:rPr>
        <w:t xml:space="preserve"> </w:t>
      </w:r>
      <w:r w:rsidR="00042543" w:rsidRPr="00042543">
        <w:rPr>
          <w:rFonts w:ascii="Arial" w:hAnsi="Arial" w:cs="Arial"/>
          <w:sz w:val="24"/>
          <w:lang w:val="en-US"/>
        </w:rPr>
        <w:t>2000;343:100-5.</w:t>
      </w:r>
    </w:p>
    <w:p w14:paraId="4ADC4ED6" w14:textId="77777777" w:rsidR="005B40BA" w:rsidRPr="00BD1DE0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425634C7" w14:textId="75002515" w:rsidR="005B40BA" w:rsidRPr="00BD1DE0" w:rsidRDefault="00BB7065" w:rsidP="00CF6B8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</w:t>
      </w:r>
      <w:r w:rsidR="005B40BA" w:rsidRPr="00BD1DE0">
        <w:rPr>
          <w:rFonts w:ascii="Arial" w:hAnsi="Arial" w:cs="Arial"/>
          <w:sz w:val="24"/>
          <w:lang w:val="en-US"/>
        </w:rPr>
        <w:t>.</w:t>
      </w:r>
      <w:r w:rsidR="005B40BA" w:rsidRPr="00BD1DE0">
        <w:rPr>
          <w:rFonts w:ascii="Arial" w:hAnsi="Arial" w:cs="Arial"/>
          <w:sz w:val="24"/>
          <w:lang w:val="en-US"/>
        </w:rPr>
        <w:tab/>
      </w:r>
      <w:r w:rsidR="00CF6B8A" w:rsidRPr="00CF6B8A">
        <w:rPr>
          <w:rFonts w:ascii="Arial" w:hAnsi="Arial" w:cs="Arial"/>
          <w:sz w:val="24"/>
          <w:lang w:val="en-US"/>
        </w:rPr>
        <w:t>Dunning J, Daly JP, Malhotra R, et al. The implications of NICE</w:t>
      </w:r>
      <w:r w:rsidR="00CF6B8A">
        <w:rPr>
          <w:rFonts w:ascii="Arial" w:hAnsi="Arial" w:cs="Arial"/>
          <w:sz w:val="24"/>
          <w:lang w:val="en-US"/>
        </w:rPr>
        <w:t xml:space="preserve"> </w:t>
      </w:r>
      <w:r w:rsidR="00CF6B8A" w:rsidRPr="00CF6B8A">
        <w:rPr>
          <w:rFonts w:ascii="Arial" w:hAnsi="Arial" w:cs="Arial"/>
          <w:sz w:val="24"/>
          <w:lang w:val="en-US"/>
        </w:rPr>
        <w:t>guidelines on the management of children presenting with head</w:t>
      </w:r>
      <w:r w:rsidR="00CF6B8A">
        <w:rPr>
          <w:rFonts w:ascii="Arial" w:hAnsi="Arial" w:cs="Arial"/>
          <w:sz w:val="24"/>
          <w:lang w:val="en-US"/>
        </w:rPr>
        <w:t xml:space="preserve"> </w:t>
      </w:r>
      <w:r w:rsidR="00CF6B8A" w:rsidRPr="00CF6B8A">
        <w:rPr>
          <w:rFonts w:ascii="Arial" w:hAnsi="Arial" w:cs="Arial"/>
          <w:sz w:val="24"/>
          <w:lang w:val="en-US"/>
        </w:rPr>
        <w:t>injury. Arch Dis Child. 2004;89:763-7.</w:t>
      </w:r>
    </w:p>
    <w:p w14:paraId="30CE60B5" w14:textId="77777777" w:rsidR="00F11DFB" w:rsidRPr="00BD1DE0" w:rsidRDefault="00F11DFB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0338D11" w14:textId="279E9598" w:rsidR="005B40BA" w:rsidRPr="00CF6B8A" w:rsidRDefault="00BB7065" w:rsidP="00CF6B8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  <w:r w:rsidRPr="00901B05">
        <w:rPr>
          <w:rFonts w:ascii="Arial" w:hAnsi="Arial" w:cs="Arial"/>
          <w:sz w:val="24"/>
          <w:lang w:val="en-US"/>
        </w:rPr>
        <w:t>6</w:t>
      </w:r>
      <w:r w:rsidR="005B40BA" w:rsidRPr="00901B05">
        <w:rPr>
          <w:rFonts w:ascii="Arial" w:hAnsi="Arial" w:cs="Arial"/>
          <w:sz w:val="24"/>
          <w:lang w:val="en-US"/>
        </w:rPr>
        <w:t>.</w:t>
      </w:r>
      <w:r w:rsidR="005B40BA" w:rsidRPr="00901B05">
        <w:rPr>
          <w:rFonts w:ascii="Arial" w:hAnsi="Arial" w:cs="Arial"/>
          <w:sz w:val="24"/>
          <w:lang w:val="en-US"/>
        </w:rPr>
        <w:tab/>
      </w:r>
      <w:r w:rsidR="00CF6B8A" w:rsidRPr="00901B05">
        <w:rPr>
          <w:rFonts w:ascii="Arial" w:hAnsi="Arial" w:cs="Arial"/>
          <w:sz w:val="24"/>
          <w:lang w:val="en-US"/>
        </w:rPr>
        <w:t>Ghizoni T, Fraga A</w:t>
      </w:r>
      <w:r w:rsidR="005B40BA" w:rsidRPr="00901B05">
        <w:rPr>
          <w:rFonts w:ascii="Arial" w:hAnsi="Arial" w:cs="Arial"/>
          <w:sz w:val="24"/>
          <w:lang w:val="en-US"/>
        </w:rPr>
        <w:t xml:space="preserve">, et al. </w:t>
      </w:r>
      <w:r w:rsidR="00CF6B8A" w:rsidRPr="00CF6B8A">
        <w:rPr>
          <w:rFonts w:ascii="Arial" w:hAnsi="Arial" w:cs="Arial"/>
          <w:sz w:val="24"/>
          <w:lang w:val="en-US"/>
        </w:rPr>
        <w:t>Indications for head computed tomography in children with mild traumatic brain</w:t>
      </w:r>
      <w:r w:rsidR="00CF6B8A">
        <w:rPr>
          <w:rFonts w:ascii="Arial" w:hAnsi="Arial" w:cs="Arial"/>
          <w:sz w:val="24"/>
          <w:lang w:val="en-US"/>
        </w:rPr>
        <w:t xml:space="preserve"> </w:t>
      </w:r>
      <w:r w:rsidR="00CF6B8A" w:rsidRPr="00CF6B8A">
        <w:rPr>
          <w:rFonts w:ascii="Arial" w:hAnsi="Arial" w:cs="Arial"/>
          <w:sz w:val="24"/>
          <w:lang w:val="en-US"/>
        </w:rPr>
        <w:t>injury</w:t>
      </w:r>
      <w:r w:rsidR="005B40BA" w:rsidRPr="00BD1DE0">
        <w:rPr>
          <w:rFonts w:ascii="Arial" w:hAnsi="Arial" w:cs="Arial"/>
          <w:sz w:val="24"/>
          <w:lang w:val="en-US"/>
        </w:rPr>
        <w:t xml:space="preserve">. </w:t>
      </w:r>
      <w:r w:rsidR="00CF6B8A" w:rsidRPr="00CF6B8A">
        <w:rPr>
          <w:rFonts w:ascii="Arial" w:hAnsi="Arial" w:cs="Arial"/>
          <w:sz w:val="24"/>
        </w:rPr>
        <w:t>Rev. Col. Bras. Cir. 2013; 40(6): 515-519</w:t>
      </w:r>
    </w:p>
    <w:p w14:paraId="54B76ACA" w14:textId="77777777" w:rsidR="005B40BA" w:rsidRPr="00CF6B8A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1B88A845" w14:textId="05579E4D" w:rsidR="005B40BA" w:rsidRPr="00BD1DE0" w:rsidRDefault="00BB7065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7</w:t>
      </w:r>
      <w:r w:rsidR="005B40BA" w:rsidRPr="00CF6B8A">
        <w:rPr>
          <w:rFonts w:ascii="Arial" w:hAnsi="Arial" w:cs="Arial"/>
          <w:sz w:val="24"/>
        </w:rPr>
        <w:t>.</w:t>
      </w:r>
      <w:r w:rsidR="005B40BA" w:rsidRPr="00CF6B8A">
        <w:rPr>
          <w:rFonts w:ascii="Arial" w:hAnsi="Arial" w:cs="Arial"/>
          <w:sz w:val="24"/>
        </w:rPr>
        <w:tab/>
      </w:r>
      <w:r w:rsidR="00CF6B8A" w:rsidRPr="00CF6B8A">
        <w:rPr>
          <w:rFonts w:ascii="Arial" w:hAnsi="Arial" w:cs="Arial"/>
          <w:sz w:val="24"/>
        </w:rPr>
        <w:t>Matias J1, Almeida S</w:t>
      </w:r>
      <w:r w:rsidR="005B40BA" w:rsidRPr="00CF6B8A">
        <w:rPr>
          <w:rFonts w:ascii="Arial" w:hAnsi="Arial" w:cs="Arial"/>
          <w:sz w:val="24"/>
        </w:rPr>
        <w:t xml:space="preserve">, et al. </w:t>
      </w:r>
      <w:r w:rsidR="00CF6B8A" w:rsidRPr="00CF6B8A">
        <w:rPr>
          <w:rFonts w:ascii="Arial" w:hAnsi="Arial" w:cs="Arial"/>
          <w:sz w:val="24"/>
          <w:lang w:val="en-US"/>
        </w:rPr>
        <w:t>The Experience of a Protocol for the Management of Pediatric Minor Head Injury: A Three Years Longitudinal Study</w:t>
      </w:r>
      <w:r w:rsidR="005B40BA" w:rsidRPr="00BD1DE0">
        <w:rPr>
          <w:rFonts w:ascii="Arial" w:hAnsi="Arial" w:cs="Arial"/>
          <w:sz w:val="24"/>
          <w:lang w:val="en-US"/>
        </w:rPr>
        <w:t xml:space="preserve">. </w:t>
      </w:r>
      <w:r w:rsidR="00CF6B8A" w:rsidRPr="00CF6B8A">
        <w:rPr>
          <w:rFonts w:ascii="Arial" w:hAnsi="Arial" w:cs="Arial"/>
          <w:sz w:val="24"/>
          <w:lang w:val="en-US"/>
        </w:rPr>
        <w:t>Acta Med Port. 2017 Oct 31;30(10):704-712</w:t>
      </w:r>
      <w:r w:rsidR="005B40BA" w:rsidRPr="00BD1DE0">
        <w:rPr>
          <w:rFonts w:ascii="Arial" w:hAnsi="Arial" w:cs="Arial"/>
          <w:sz w:val="24"/>
          <w:lang w:val="en-US"/>
        </w:rPr>
        <w:t>.</w:t>
      </w:r>
    </w:p>
    <w:p w14:paraId="0A4B9076" w14:textId="7026032F" w:rsidR="00C80957" w:rsidRPr="00BD1DE0" w:rsidRDefault="00C80957" w:rsidP="00C80957">
      <w:pPr>
        <w:jc w:val="both"/>
        <w:rPr>
          <w:rFonts w:ascii="Arial" w:hAnsi="Arial" w:cs="Arial"/>
          <w:sz w:val="24"/>
          <w:lang w:val="en-US"/>
        </w:rPr>
      </w:pPr>
    </w:p>
    <w:p w14:paraId="0FF1C4A1" w14:textId="77777777" w:rsidR="00C80957" w:rsidRPr="00BD1DE0" w:rsidRDefault="00C80957" w:rsidP="00C80957">
      <w:pPr>
        <w:pStyle w:val="PargrafodaLista"/>
        <w:ind w:left="993"/>
        <w:jc w:val="both"/>
        <w:rPr>
          <w:rFonts w:ascii="Arial" w:hAnsi="Arial" w:cs="Arial"/>
          <w:sz w:val="24"/>
          <w:lang w:val="en-US"/>
        </w:rPr>
      </w:pPr>
    </w:p>
    <w:p w14:paraId="49110C16" w14:textId="717B0BFE" w:rsidR="00C80957" w:rsidRDefault="00C80957" w:rsidP="00C80957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Responsável</w:t>
      </w:r>
      <w:r w:rsidR="00963A3E">
        <w:rPr>
          <w:rFonts w:ascii="Arial" w:hAnsi="Arial" w:cs="Arial"/>
          <w:sz w:val="24"/>
        </w:rPr>
        <w:t xml:space="preserve"> pela elaboração</w:t>
      </w:r>
      <w:r w:rsidRPr="00F11DFB">
        <w:rPr>
          <w:rFonts w:ascii="Arial" w:hAnsi="Arial" w:cs="Arial"/>
          <w:sz w:val="24"/>
        </w:rPr>
        <w:t>:</w:t>
      </w:r>
    </w:p>
    <w:p w14:paraId="188800B8" w14:textId="77777777" w:rsidR="00963A3E" w:rsidRDefault="00963A3E" w:rsidP="00963A3E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</w:p>
    <w:p w14:paraId="3B5B43B1" w14:textId="5471B0C1" w:rsidR="00C80957" w:rsidRPr="00F11DFB" w:rsidRDefault="00C80957" w:rsidP="00C80957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Manuela de Oliveira Fragomeni - Neuropediatra / HRT.</w:t>
      </w:r>
    </w:p>
    <w:p w14:paraId="525E64BD" w14:textId="77777777" w:rsidR="00C80957" w:rsidRPr="00F11DFB" w:rsidRDefault="00C80957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64AC1B9B" w14:textId="77777777" w:rsidR="005B40BA" w:rsidRPr="00F11DFB" w:rsidRDefault="005B40BA" w:rsidP="00C80957">
      <w:pPr>
        <w:ind w:left="992"/>
      </w:pPr>
      <w:r w:rsidRPr="00F11DFB">
        <w:fldChar w:fldCharType="end"/>
      </w:r>
    </w:p>
    <w:sectPr w:rsidR="005B40BA" w:rsidRPr="00F11DFB" w:rsidSect="00DC2730">
      <w:headerReference w:type="default" r:id="rId7"/>
      <w:pgSz w:w="11900" w:h="16840"/>
      <w:pgMar w:top="1016" w:right="1800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01A6" w14:textId="77777777" w:rsidR="008907F4" w:rsidRDefault="008907F4" w:rsidP="00953336">
      <w:r>
        <w:separator/>
      </w:r>
    </w:p>
  </w:endnote>
  <w:endnote w:type="continuationSeparator" w:id="0">
    <w:p w14:paraId="5938DE81" w14:textId="77777777" w:rsidR="008907F4" w:rsidRDefault="008907F4" w:rsidP="0095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2647" w14:textId="77777777" w:rsidR="008907F4" w:rsidRDefault="008907F4" w:rsidP="00953336">
      <w:r>
        <w:separator/>
      </w:r>
    </w:p>
  </w:footnote>
  <w:footnote w:type="continuationSeparator" w:id="0">
    <w:p w14:paraId="1441C9A0" w14:textId="77777777" w:rsidR="008907F4" w:rsidRDefault="008907F4" w:rsidP="0095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9013" w14:textId="77777777" w:rsidR="0044015A" w:rsidRDefault="0044015A" w:rsidP="00953336">
    <w:pPr>
      <w:pStyle w:val="Cabealho"/>
      <w:tabs>
        <w:tab w:val="clear" w:pos="4320"/>
        <w:tab w:val="clear" w:pos="8640"/>
        <w:tab w:val="left" w:pos="6343"/>
      </w:tabs>
    </w:pPr>
    <w:r>
      <w:tab/>
    </w:r>
  </w:p>
  <w:p w14:paraId="639DE897" w14:textId="77777777" w:rsidR="0044015A" w:rsidRDefault="0044015A" w:rsidP="00953336">
    <w:pPr>
      <w:pStyle w:val="Cabealho"/>
      <w:tabs>
        <w:tab w:val="clear" w:pos="4320"/>
        <w:tab w:val="clear" w:pos="8640"/>
        <w:tab w:val="left" w:pos="6343"/>
      </w:tabs>
    </w:pPr>
  </w:p>
  <w:p w14:paraId="3BF0D1D5" w14:textId="487F3EC6" w:rsidR="0044015A" w:rsidRPr="00953336" w:rsidRDefault="0044015A" w:rsidP="009C359F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  <w:sz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1604AD4" wp14:editId="2623867A">
          <wp:simplePos x="0" y="0"/>
          <wp:positionH relativeFrom="margin">
            <wp:posOffset>571500</wp:posOffset>
          </wp:positionH>
          <wp:positionV relativeFrom="margin">
            <wp:posOffset>-986790</wp:posOffset>
          </wp:positionV>
          <wp:extent cx="1068070" cy="903605"/>
          <wp:effectExtent l="0" t="0" r="0" b="1079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3336">
      <w:rPr>
        <w:rFonts w:ascii="Arial" w:hAnsi="Arial" w:cs="Arial"/>
        <w:b/>
        <w:sz w:val="24"/>
      </w:rPr>
      <w:t>Hospital Regional de Taguatinga</w:t>
    </w:r>
  </w:p>
  <w:p w14:paraId="20AE9E37" w14:textId="5498064C" w:rsidR="0044015A" w:rsidRPr="00953336" w:rsidRDefault="0044015A" w:rsidP="009C359F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  <w:sz w:val="24"/>
      </w:rPr>
    </w:pPr>
    <w:r w:rsidRPr="00953336">
      <w:rPr>
        <w:rFonts w:ascii="Arial" w:hAnsi="Arial" w:cs="Arial"/>
        <w:b/>
        <w:sz w:val="24"/>
      </w:rPr>
      <w:t>Rotinas da Unidade de Pediatria</w:t>
    </w:r>
  </w:p>
  <w:p w14:paraId="65F8628B" w14:textId="77777777" w:rsidR="0044015A" w:rsidRPr="00953336" w:rsidRDefault="0044015A" w:rsidP="00953336">
    <w:pPr>
      <w:pStyle w:val="Cabealho"/>
      <w:tabs>
        <w:tab w:val="clear" w:pos="4320"/>
        <w:tab w:val="clear" w:pos="8640"/>
        <w:tab w:val="left" w:pos="6343"/>
      </w:tabs>
      <w:jc w:val="right"/>
      <w:rPr>
        <w:rFonts w:ascii="Arial" w:hAnsi="Arial" w:cs="Arial"/>
        <w:sz w:val="24"/>
      </w:rPr>
    </w:pPr>
  </w:p>
  <w:p w14:paraId="04E9620A" w14:textId="77777777" w:rsidR="0044015A" w:rsidRPr="00953336" w:rsidRDefault="0044015A">
    <w:pPr>
      <w:pStyle w:val="Cabealh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B40"/>
    <w:multiLevelType w:val="hybridMultilevel"/>
    <w:tmpl w:val="62584A4E"/>
    <w:lvl w:ilvl="0" w:tplc="FB7A08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54BFF"/>
    <w:multiLevelType w:val="hybridMultilevel"/>
    <w:tmpl w:val="FFF633BE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EF72924"/>
    <w:multiLevelType w:val="hybridMultilevel"/>
    <w:tmpl w:val="073251FA"/>
    <w:lvl w:ilvl="0" w:tplc="20FA9094"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2015190"/>
    <w:multiLevelType w:val="hybridMultilevel"/>
    <w:tmpl w:val="6E0089A0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 w16cid:durableId="139465303">
    <w:abstractNumId w:val="0"/>
  </w:num>
  <w:num w:numId="2" w16cid:durableId="756756840">
    <w:abstractNumId w:val="1"/>
  </w:num>
  <w:num w:numId="3" w16cid:durableId="745225334">
    <w:abstractNumId w:val="2"/>
  </w:num>
  <w:num w:numId="4" w16cid:durableId="103306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0wwfspwwaefueapzevd2zzsrzx5wa5art9&quot;&gt;NPED&lt;record-ids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774B5E"/>
    <w:rsid w:val="0000102E"/>
    <w:rsid w:val="00042543"/>
    <w:rsid w:val="00086D85"/>
    <w:rsid w:val="000A7A11"/>
    <w:rsid w:val="000B0499"/>
    <w:rsid w:val="000C07F1"/>
    <w:rsid w:val="000D4252"/>
    <w:rsid w:val="001261E1"/>
    <w:rsid w:val="00180D9A"/>
    <w:rsid w:val="001C56FB"/>
    <w:rsid w:val="00311951"/>
    <w:rsid w:val="00416765"/>
    <w:rsid w:val="00431D95"/>
    <w:rsid w:val="0044015A"/>
    <w:rsid w:val="004B3F5E"/>
    <w:rsid w:val="004F7035"/>
    <w:rsid w:val="00535FCD"/>
    <w:rsid w:val="005462A5"/>
    <w:rsid w:val="00550B4F"/>
    <w:rsid w:val="00556B24"/>
    <w:rsid w:val="00557E39"/>
    <w:rsid w:val="005758FD"/>
    <w:rsid w:val="00585B75"/>
    <w:rsid w:val="005B40BA"/>
    <w:rsid w:val="005B7C30"/>
    <w:rsid w:val="005C2594"/>
    <w:rsid w:val="005C5011"/>
    <w:rsid w:val="005D66F7"/>
    <w:rsid w:val="007467B7"/>
    <w:rsid w:val="00766FAB"/>
    <w:rsid w:val="00774B5E"/>
    <w:rsid w:val="00776AB1"/>
    <w:rsid w:val="007C69F0"/>
    <w:rsid w:val="008078A9"/>
    <w:rsid w:val="00851B00"/>
    <w:rsid w:val="00867EC7"/>
    <w:rsid w:val="008907F4"/>
    <w:rsid w:val="008A557A"/>
    <w:rsid w:val="00901B05"/>
    <w:rsid w:val="00953336"/>
    <w:rsid w:val="00963A3E"/>
    <w:rsid w:val="00980A41"/>
    <w:rsid w:val="009B7206"/>
    <w:rsid w:val="009C359F"/>
    <w:rsid w:val="00A70C99"/>
    <w:rsid w:val="00A94098"/>
    <w:rsid w:val="00AA42D7"/>
    <w:rsid w:val="00AE5E1F"/>
    <w:rsid w:val="00B077A2"/>
    <w:rsid w:val="00B67474"/>
    <w:rsid w:val="00BB7065"/>
    <w:rsid w:val="00BD0F37"/>
    <w:rsid w:val="00BD1DE0"/>
    <w:rsid w:val="00C06A5B"/>
    <w:rsid w:val="00C138F9"/>
    <w:rsid w:val="00C80957"/>
    <w:rsid w:val="00CC6D3F"/>
    <w:rsid w:val="00CF6B8A"/>
    <w:rsid w:val="00D0646D"/>
    <w:rsid w:val="00D2201C"/>
    <w:rsid w:val="00D36BBA"/>
    <w:rsid w:val="00DC1883"/>
    <w:rsid w:val="00DC2730"/>
    <w:rsid w:val="00DD1B7C"/>
    <w:rsid w:val="00F026D8"/>
    <w:rsid w:val="00F11DFB"/>
    <w:rsid w:val="00F20CF1"/>
    <w:rsid w:val="00F94BD3"/>
    <w:rsid w:val="00FC495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DC6DA0"/>
  <w14:defaultImageDpi w14:val="300"/>
  <w15:docId w15:val="{0782E383-4F87-BA4B-A142-6BD30B8E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36"/>
    <w:rPr>
      <w:rFonts w:ascii="Calibri" w:eastAsia="Calibri" w:hAnsi="Calibr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53336"/>
    <w:rPr>
      <w:rFonts w:ascii="Calibri" w:eastAsia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33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336"/>
    <w:rPr>
      <w:rFonts w:ascii="Lucida Grande" w:eastAsia="Calibri" w:hAnsi="Lucida Grande" w:cs="Lucida Grande"/>
      <w:sz w:val="18"/>
      <w:szCs w:val="18"/>
    </w:rPr>
  </w:style>
  <w:style w:type="table" w:styleId="ListaClara">
    <w:name w:val="Light List"/>
    <w:basedOn w:val="Tabelanormal"/>
    <w:uiPriority w:val="61"/>
    <w:rsid w:val="004167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ndNoteBibliographyTitle">
    <w:name w:val="EndNote Bibliography Title"/>
    <w:basedOn w:val="Normal"/>
    <w:rsid w:val="005B40BA"/>
    <w:pPr>
      <w:jc w:val="center"/>
    </w:pPr>
  </w:style>
  <w:style w:type="paragraph" w:customStyle="1" w:styleId="EndNoteBibliography">
    <w:name w:val="EndNote Bibliography"/>
    <w:basedOn w:val="Normal"/>
    <w:rsid w:val="005B40BA"/>
    <w:pPr>
      <w:jc w:val="both"/>
    </w:pPr>
  </w:style>
  <w:style w:type="table" w:styleId="Tabelacomgrade">
    <w:name w:val="Table Grid"/>
    <w:basedOn w:val="Tabelanormal"/>
    <w:uiPriority w:val="59"/>
    <w:rsid w:val="00A70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99"/>
    <w:rsid w:val="00A70C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A70C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1596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Oliveira Fragomeni</dc:creator>
  <cp:keywords/>
  <dc:description/>
  <cp:lastModifiedBy>Manuela Fragomeni</cp:lastModifiedBy>
  <cp:revision>10</cp:revision>
  <dcterms:created xsi:type="dcterms:W3CDTF">2018-09-16T20:08:00Z</dcterms:created>
  <dcterms:modified xsi:type="dcterms:W3CDTF">2022-09-04T21:03:00Z</dcterms:modified>
</cp:coreProperties>
</file>