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pStyle w:val="Heading1"/>
        <w:spacing w:before="0" w:after="120"/>
        <w:ind w:firstLine="709"/>
        <w:jc w:val="center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ПОСТАНОВЛЕНИЕ</w:t>
      </w:r>
    </w:p>
    <w:p>
      <w:pPr>
        <w:pStyle w:val="Heading1"/>
        <w:spacing w:before="0" w:after="120"/>
        <w:ind w:firstLine="709"/>
        <w:jc w:val="center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по делу об административном правонарушении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rStyle w:val="cat-Addressgrp-0rplc-0"/>
          <w:b w:val="0"/>
          <w:bCs w:val="0"/>
          <w:i w:val="0"/>
          <w:sz w:val="28"/>
          <w:szCs w:val="28"/>
          <w:highlight w:val="none"/>
        </w:rPr>
        <w:t>адрес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            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   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</w:t>
      </w:r>
      <w:r>
        <w:rPr>
          <w:b w:val="0"/>
          <w:bCs w:val="0"/>
          <w:i w:val="0"/>
          <w:sz w:val="28"/>
          <w:szCs w:val="28"/>
          <w:highlight w:val="none"/>
        </w:rPr>
        <w:t>10 октября 2025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года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Бутырский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районный суд </w:t>
      </w:r>
      <w:r>
        <w:rPr>
          <w:rStyle w:val="cat-Addressgrp-0rplc-1"/>
          <w:b w:val="0"/>
          <w:bCs w:val="0"/>
          <w:i w:val="0"/>
          <w:sz w:val="28"/>
          <w:szCs w:val="28"/>
          <w:highlight w:val="none"/>
        </w:rPr>
        <w:t>адрес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в лице судьи А.В. Островского, рассмотрев в открытом судебном заседании материалы дела об административном правонарушении, предусмотренном ч.</w:t>
      </w:r>
      <w:r>
        <w:rPr>
          <w:b w:val="0"/>
          <w:bCs w:val="0"/>
          <w:i w:val="0"/>
          <w:sz w:val="28"/>
          <w:szCs w:val="28"/>
          <w:highlight w:val="none"/>
        </w:rPr>
        <w:t>3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ст.</w:t>
      </w:r>
      <w:r>
        <w:rPr>
          <w:b w:val="0"/>
          <w:bCs w:val="0"/>
          <w:i w:val="0"/>
          <w:sz w:val="28"/>
          <w:szCs w:val="28"/>
          <w:highlight w:val="none"/>
        </w:rPr>
        <w:t>6.21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КоАП РФ, в отношении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i w:val="0"/>
          <w:sz w:val="28"/>
          <w:szCs w:val="28"/>
          <w:highlight w:val="none"/>
        </w:rPr>
        <w:t>Городжа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Егора Андреевича</w:t>
      </w:r>
      <w:r>
        <w:rPr>
          <w:b w:val="0"/>
          <w:bCs w:val="0"/>
          <w:i w:val="0"/>
          <w:sz w:val="28"/>
          <w:szCs w:val="28"/>
          <w:highlight w:val="none"/>
        </w:rPr>
        <w:t>,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</w:t>
      </w:r>
      <w:r>
        <w:rPr>
          <w:rStyle w:val="cat-ExternalSystemDefinedgrp-29rplc-4"/>
          <w:b w:val="0"/>
          <w:bCs w:val="0"/>
          <w:i w:val="0"/>
          <w:sz w:val="28"/>
          <w:szCs w:val="28"/>
          <w:highlight w:val="none"/>
        </w:rPr>
        <w:t>...</w:t>
      </w:r>
      <w:r>
        <w:rPr>
          <w:rStyle w:val="cat-PassportDatagrp-24rplc-5"/>
          <w:b w:val="0"/>
          <w:bCs w:val="0"/>
          <w:i w:val="0"/>
          <w:sz w:val="28"/>
          <w:szCs w:val="28"/>
          <w:highlight w:val="none"/>
        </w:rPr>
        <w:t>паспортные данные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, гражданин РФ, </w:t>
      </w:r>
      <w:r>
        <w:rPr>
          <w:rStyle w:val="cat-PassportDatagrp-25rplc-6"/>
          <w:b w:val="0"/>
          <w:bCs w:val="0"/>
          <w:i w:val="0"/>
          <w:sz w:val="28"/>
          <w:szCs w:val="28"/>
          <w:highlight w:val="none"/>
        </w:rPr>
        <w:t>паспортные данные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, </w:t>
      </w:r>
      <w:r>
        <w:rPr>
          <w:b w:val="0"/>
          <w:bCs w:val="0"/>
          <w:i w:val="0"/>
          <w:sz w:val="28"/>
          <w:szCs w:val="28"/>
          <w:highlight w:val="none"/>
        </w:rPr>
        <w:t>(</w:t>
      </w:r>
      <w:r>
        <w:rPr>
          <w:rStyle w:val="cat-PassportDatagrp-26rplc-7"/>
          <w:b w:val="0"/>
          <w:bCs w:val="0"/>
          <w:i w:val="0"/>
          <w:sz w:val="28"/>
          <w:szCs w:val="28"/>
          <w:highlight w:val="none"/>
        </w:rPr>
        <w:t>паспортные данные</w:t>
      </w:r>
      <w:r>
        <w:rPr>
          <w:b w:val="0"/>
          <w:bCs w:val="0"/>
          <w:i w:val="0"/>
          <w:sz w:val="28"/>
          <w:szCs w:val="28"/>
          <w:highlight w:val="none"/>
        </w:rPr>
        <w:t>)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,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официально не трудоустроенного, </w:t>
      </w:r>
      <w:r>
        <w:rPr>
          <w:b w:val="0"/>
          <w:bCs w:val="0"/>
          <w:i w:val="0"/>
          <w:sz w:val="28"/>
          <w:szCs w:val="28"/>
          <w:highlight w:val="none"/>
        </w:rPr>
        <w:t>зарегистрированн</w:t>
      </w:r>
      <w:r>
        <w:rPr>
          <w:b w:val="0"/>
          <w:bCs w:val="0"/>
          <w:i w:val="0"/>
          <w:sz w:val="28"/>
          <w:szCs w:val="28"/>
          <w:highlight w:val="none"/>
        </w:rPr>
        <w:t>ого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по адресу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: </w:t>
      </w:r>
      <w:r>
        <w:rPr>
          <w:rStyle w:val="cat-Addressgrp-1rplc-8"/>
          <w:b w:val="0"/>
          <w:bCs w:val="0"/>
          <w:i w:val="0"/>
          <w:sz w:val="28"/>
          <w:szCs w:val="28"/>
          <w:highlight w:val="none"/>
        </w:rPr>
        <w:t>адрес</w:t>
      </w:r>
      <w:r>
        <w:rPr>
          <w:b w:val="0"/>
          <w:bCs w:val="0"/>
          <w:i w:val="0"/>
          <w:sz w:val="28"/>
          <w:szCs w:val="28"/>
          <w:highlight w:val="none"/>
        </w:rPr>
        <w:t>,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</w:t>
      </w:r>
      <w:r>
        <w:rPr>
          <w:rStyle w:val="cat-Addressgrp-2rplc-9"/>
          <w:b w:val="0"/>
          <w:bCs w:val="0"/>
          <w:i w:val="0"/>
          <w:sz w:val="28"/>
          <w:szCs w:val="28"/>
          <w:highlight w:val="none"/>
        </w:rPr>
        <w:t>адрес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, проживающего по адресу: </w:t>
      </w:r>
      <w:r>
        <w:rPr>
          <w:rStyle w:val="cat-Addressgrp-3rplc-10"/>
          <w:b w:val="0"/>
          <w:bCs w:val="0"/>
          <w:i w:val="0"/>
          <w:sz w:val="28"/>
          <w:szCs w:val="28"/>
          <w:highlight w:val="none"/>
        </w:rPr>
        <w:t>адрес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, </w:t>
      </w:r>
      <w:r>
        <w:rPr>
          <w:b w:val="0"/>
          <w:bCs w:val="0"/>
          <w:i w:val="0"/>
          <w:sz w:val="28"/>
          <w:szCs w:val="28"/>
          <w:highlight w:val="none"/>
        </w:rPr>
        <w:t>ранее не привлеченн</w:t>
      </w:r>
      <w:r>
        <w:rPr>
          <w:b w:val="0"/>
          <w:bCs w:val="0"/>
          <w:i w:val="0"/>
          <w:sz w:val="28"/>
          <w:szCs w:val="28"/>
          <w:highlight w:val="none"/>
        </w:rPr>
        <w:t>ого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к административной ответственности за аналогичные правонарушения,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</w:t>
      </w:r>
    </w:p>
    <w:p>
      <w:pPr>
        <w:pStyle w:val="Heading1"/>
        <w:spacing w:before="0" w:after="120"/>
        <w:ind w:firstLine="709"/>
        <w:jc w:val="center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УСТАНОВИЛ: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совершил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пропаганду нетрадиционных сексуальных отношений и (или) предпочтений, смены пола либо отказа от деторождения, выразившаяся в распространении информации и (или) совершении публичных действий, направленных на формирование нетрадиционных сексуальных установок, привлекательности нетрадиционных сексуальных отношений и (или) предпочтений,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(или) предпочтений либо социальной равноценности рождения детей и отказа от деторождения, либо навязывание информации о нетрадиционных сексуальных отношениях и (или) предпочтениях, смене пола либо об отказе от деторождения, вызывающей интерес к таким отношениям и (или) предпочтениям, смене пола либо отказу от деторождения, за исключением случаев, предусмотренных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"https://login.consultant.ru/link/?req=doc&amp;base=LAW&amp;n=509581&amp;dst=10091"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статьей 6.21.1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настоящего Кодекса, совершенные с применением средств массовой информации и (или) информационно-телекоммуникационных сетей (в том числе сети "Интернет"), если эти действия не содержат признаков уголовно наказуемого деяния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 следующих обстоятельствах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: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Бутырскую межрайонную прокуратуру </w:t>
      </w:r>
      <w:r>
        <w:rPr>
          <w:rStyle w:val="cat-Addressgrp-0rplc-1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из ЦПЭ УВД по </w:t>
      </w:r>
      <w:r>
        <w:rPr>
          <w:rStyle w:val="cat-Addressgrp-5rplc-1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0rplc-14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поступил материал проверки по факту размещения </w:t>
      </w:r>
      <w:r>
        <w:rPr>
          <w:rStyle w:val="cat-FIOgrp-14rplc-15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информационно-телекоммуникационной сети «Интернет», а именно в социальной сети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под псевдонимом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Joy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Gasai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(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"https://vk.com/id745767203?from=search"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id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745767203?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from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=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search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 также в сети «Телеграмм» по сетевому адресу: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публикаций, пропагандирующих нетрадиционные сексуальные отношения, запрещенные на </w:t>
      </w:r>
      <w:r>
        <w:rPr>
          <w:rStyle w:val="cat-Addressgrp-4rplc-1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"https://t.me/hemamej%d0%be%d1%83/419"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оу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/419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"https://t.me/hemamej%d0%be%d1%83/413"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оу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/413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"https://t.me/hemamejoy/390"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/390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"https://t.me/hemamejoy/388"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/388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"https://t.me/hemamejoy/311"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/311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"https://t.me/hemamejoy/15"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/15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8,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"https://vk.com/wall745767203"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wall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745767203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502,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"https://vk.com/wall745"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wall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745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767203_389)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рамках проверки информации сотрудниками ЦПЭ УВД по </w:t>
      </w:r>
      <w:r>
        <w:rPr>
          <w:rStyle w:val="cat-Addressgrp-5rplc-1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0rplc-1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03.03.2025 составлен акт осмотра Интернет-ресурсов и 06.03.2025 материалы направлены в ФБУ РФЦСЭ имени профессора </w:t>
      </w:r>
      <w:r>
        <w:rPr>
          <w:rStyle w:val="cat-FIOgrp-15rplc-19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при Министерстве юстиции России для проведения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психолого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softHyphen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лингвистической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экспертизы.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заключению эксперта № 2049/33-5-25, 2050/24-5-25 от 31.03.2025 в постах, зафиксированных в видеофайлах под названием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», «Телеграмм» </w:t>
      </w:r>
      <w:r>
        <w:rPr>
          <w:rStyle w:val="cat-Addressgrp-6rplc-2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.» на представленном оптическом диске содержится совокупность лингвистических и психологических признаков пропаганды нетрадиционных сексуальных отношений (не между мужчиной и женщиной), что выражено положительной оценкой таких отношений как правильных, обоснованием необходимости сексуальных отношений не между мужчиной и женщиной.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Согласно акту осмотра от 03.03.2025 в период времени с 15:27 по 16:30 ч. по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адресу: </w:t>
      </w:r>
      <w:r>
        <w:rPr>
          <w:rStyle w:val="cat-Addressgrp-7rplc-2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Калитниковская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д. 31, оперуполномоченным ЦПЭ УВД по </w:t>
      </w:r>
      <w:r>
        <w:rPr>
          <w:rStyle w:val="cat-Addressgrp-5rplc-2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0rplc-2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проведен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осмотр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интернет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страниц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"https://vk.com/id745767203?from=search"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id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745767203?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from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=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search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u w:val="single" w:color="0000E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которых опубликованы фотографии, эротического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содержания, в которых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ГороджаЕ.А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 распространяет идеи «ЛГБТ»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Указанные публикации зафиксированы актом осмотра от 03.03.2025 оперуполномоченным ЦПЭ УВД по </w:t>
      </w:r>
      <w:r>
        <w:rPr>
          <w:rStyle w:val="cat-Addressgrp-5rplc-24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Addressgrp-0rplc-2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6rplc-26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Интернет-страницы находятся в открытом доступе, доступны неопределенному кругу лиц - пользователям социальной сети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и «Телеграмм».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Сотрудниками ЦПЭ УВД по </w:t>
      </w:r>
      <w:r>
        <w:rPr>
          <w:rStyle w:val="cat-Addressgrp-5rplc-2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0rplc-2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ходе объяснений установлено, что пользователем вышеуказанных страниц является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Егор Андреевич </w:t>
      </w:r>
      <w:r>
        <w:rPr>
          <w:rStyle w:val="cat-ExternalSystemDefinedgrp-29rplc-30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27rplc-31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(при регистрации в социальной сети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 и сети «Телеграмм» использует абонентский номер +7-923-358-55-94, зарегистрирован по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адресу:г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 Красноярск,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Addressgrp-2rplc-3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проживающий по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адресу:г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Москва,</w:t>
      </w:r>
      <w:r>
        <w:rPr>
          <w:rStyle w:val="cat-Addressgrp-8rplc-3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).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 результатам проведенной проверки установлено,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Егор Андреевич, разместил в информационно-телекоммуникационных сетях Интернет, в социальной сети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ВКонтакте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«Телеграмм» на интернет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странице с адресом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"https://vk.com/id745767203?from=search"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id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745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767203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?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from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=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search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пропагандирующие нетрадиционные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сексуальные отношения, запрещенные на </w:t>
      </w:r>
      <w:r>
        <w:rPr>
          <w:rStyle w:val="cat-Addressgrp-4rplc-3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 результатам изложенного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11 сентября 2025 года, проверив представленную информацию, вынеся постановление об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административном расследовании, Бутырской межрайонной прокуратурой составлен Акт осмотра сайтов в интернет сети, в которой установили, что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вышеизлоденные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факты нашли свое подтверждение,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что пользователи информационно-телекоммуникационной сети «Интернет» имеют неограниченный доступ к вышеуказанным сайтам.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Вход на сайты свободный, ознакомиться с содержанием указанных страниц, скопировать информацию в электронном варианте, воспользоваться предлагаемыми услугами может любой пользователь сети.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основании анализа 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редставленных сведений вынесено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 от 12 сентября 2025 года о возбуждении дела об административном правонарушении.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судебное заседание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совместно с защитником адвокатом </w:t>
      </w:r>
      <w:r>
        <w:rPr>
          <w:rStyle w:val="cat-FIOgrp-18rplc-37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явились,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вину 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совершении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правонарушении не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признал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Адвокатом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заявлены ходатайства о передаче дела по подсудности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 ведении протокола судебного заседания, о вызове свидетелей по делу, которые разрешены судом отдельным определением.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Также адвокатом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 заявлены ходатайства 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прекращении производства в связи с истечением срока давности, о признании доказательств недопустимыми, о прекращении производства по делу в связи с отсутствием состава административного правонарушения, о признании доказательств недопустимыми и прекращением дела в связи с отсутствием состава административного правонарушения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судебное заседание явил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ась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помощник Бутырского межрайонного прокурора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Style w:val="cat-Addressgrp-0rplc-4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9rplc-4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которая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поддержала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привлечение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 к административной ответственности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возражала против удовлетворения ходатайств,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пояснила суду, что материал 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оставлен уполномоченными лицами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соответствии с нормами действующего законодательства.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Выслушав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пояснения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представителя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его защитника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помощника Бутырского межрайонного прокурора </w:t>
      </w:r>
      <w:r>
        <w:rPr>
          <w:rStyle w:val="cat-Addressgrp-0rplc-44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исследовав письменные материалы дела, суд пришел к следующему. 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административного правонарушения, предусмотренного ч.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6.21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КоАП РФ, подтверждается письменными материалами дела об административном правонарушении, которые суд признает имеющими доказательственную силу по настоящему делу об административном правонарушении: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остановлением о возбуждении дела об административном правонарушении от 12 сентября 2025 года;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ребованием от 12 сентября 2025 г.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ояснениями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ктом освидетельствования сайтов в сети Интернет от 11 сентября 2025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д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актилоскопией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з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аключением эксперта ФБУ РФЦСЭ № 2049/33-5-25,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2050/24-5-25 от31.05.2025 г.;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ктом осмотра интернет ресурса от 03 марта 2025 г. с приложенным 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нешнем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CD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диском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апортом должностного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лица ЦПЭ УВД по </w:t>
      </w:r>
      <w:r>
        <w:rPr>
          <w:rStyle w:val="cat-Addressgrp-5rplc-4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0rplc-4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остановлением об административном расследовании от 11 сентября 2025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 з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аявлением о привлечении к административной ответственности от 12.09.2025 г.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судебном заседании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была просмотрена видеозапись,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представленная на внешнем CD-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R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носителе,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из которой следует, что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должностным лицом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ЦПЭ УВД по </w:t>
      </w:r>
      <w:r>
        <w:rPr>
          <w:rStyle w:val="cat-Addressgrp-5rplc-5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ГУ МВД России по </w:t>
      </w:r>
      <w:r>
        <w:rPr>
          <w:rStyle w:val="cat-Addressgrp-0rplc-5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был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проведен осмотр интернет-страниц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"https://vk.com/id745767203?from=search"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id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745767203?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from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=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  <w:u w:val="single" w:color="0000EE"/>
        </w:rPr>
        <w:t>search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u w:val="single" w:color="0000EE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Постановление о возбуждении дела об административном правонарушении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в отношении </w:t>
      </w:r>
      <w:r>
        <w:rPr>
          <w:b w:val="0"/>
          <w:bCs w:val="0"/>
          <w:i w:val="0"/>
          <w:sz w:val="28"/>
          <w:szCs w:val="28"/>
          <w:highlight w:val="none"/>
        </w:rPr>
        <w:t>Городжа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Е.А.</w:t>
      </w:r>
      <w:r>
        <w:rPr>
          <w:b w:val="0"/>
          <w:bCs w:val="0"/>
          <w:i w:val="0"/>
          <w:sz w:val="28"/>
          <w:szCs w:val="28"/>
          <w:highlight w:val="none"/>
        </w:rPr>
        <w:t>, суд признает имеющим доказательственную силу по настоящему делу об административном правонарушении, поскольку указанн</w:t>
      </w:r>
      <w:r>
        <w:rPr>
          <w:b w:val="0"/>
          <w:bCs w:val="0"/>
          <w:i w:val="0"/>
          <w:sz w:val="28"/>
          <w:szCs w:val="28"/>
          <w:highlight w:val="none"/>
        </w:rPr>
        <w:t>ое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п</w:t>
      </w:r>
      <w:r>
        <w:rPr>
          <w:b w:val="0"/>
          <w:bCs w:val="0"/>
          <w:i w:val="0"/>
          <w:sz w:val="28"/>
          <w:szCs w:val="28"/>
          <w:highlight w:val="none"/>
        </w:rPr>
        <w:t>остановление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составлен</w:t>
      </w:r>
      <w:r>
        <w:rPr>
          <w:b w:val="0"/>
          <w:bCs w:val="0"/>
          <w:i w:val="0"/>
          <w:sz w:val="28"/>
          <w:szCs w:val="28"/>
          <w:highlight w:val="none"/>
        </w:rPr>
        <w:t>о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надлежащим должностным лицом, составлен с соблюдением процессуальных норм и требований действующего законодательства и содержит в себе все необходимые реквизиты.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Вопреки доводам защиты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вышеописанные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оказательства получены с соблюдением требований закона, их допустимость и достоверность сомнений не вызывают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существенных нарушений влекущих прекращение производства материалы дела не имеют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Исследовав письменные материалы дела, оценив собранные по делу об административном правонарушении доказательства в их совокупности по правилам ст. 26.11 Кодекса РФ об административных правонарушениях, а также с позиции соблюдения требований закона при их получении (ч. 3 ст. 26.2 Кодекса РФ об административных правонарушениях), суд приходит к выводу об установлении и доказанности, как факта совершения административного правонарушения, так и вины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соответствии с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"consultantplus://offline/ref=EBF6CDC5214FBD4CB3AC50B2724D79DE01167FFEB9B6BE04FDFE149C3D34A68D9C16723A802DA7B95A03805B82D80653DB19F3C07E9ErCF5M"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частью 3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 xml:space="preserve"> статьи 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6.21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Кодекса Российской Федерации об административных правонарушениях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пропаганда нетрадиционных сексуальных отношений и (или) предпочтений, смены пола либо отказа от деторождения, выразившаяся в распространении информации и (или) совершении публичных действий, направленных на формирование нетрадиционных сексуальных установок, привлекательности нетрадиционных сексуальных отношений и (или) предпочтений, смены пола либо отказа от деторождения или искаженного представления о социальной равноценности традиционных и нетрадиционных сексуальных отношений и (или) предпочтений либо социальной равноценности рождения детей и отказа от деторождения, либо навязывание информации о нетрадиционных сексуальных отношениях и (или) предпочтениях, смене пола либо об отказе от деторождения, вызывающей интерес к таким отношениям и (или) предпочтениям, смене пола либо отказу от деторождения, за исключением случаев, предусмотренных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"https://login.consultant.ru/link/?req=doc&amp;base=LAW&amp;n=509581&amp;dst=10091"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статьей 6.21.1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настоящего Кодекса, совершенные с применением средств массовой информации и (или)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информационно-телекоммуникационных сетей (в том числе сети "Интернет"), если эти действия не содержат признаков уголовно наказуемого деяния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Санкция указанной статьи указывает на наложение административного штрафа на граждан в размере от ста тысяч до </w:t>
      </w:r>
      <w:r>
        <w:rPr>
          <w:rStyle w:val="cat-SumInWordsgrp-20rplc-54"/>
          <w:rFonts w:ascii="Times New Roman" w:eastAsia="Times New Roman" w:hAnsi="Times New Roman" w:cs="Times New Roman"/>
          <w:sz w:val="28"/>
          <w:szCs w:val="28"/>
          <w:highlight w:val="none"/>
        </w:rPr>
        <w:t>сумма прописью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на должностных лиц - от двухсот тысяч до </w:t>
      </w:r>
      <w:r>
        <w:rPr>
          <w:rStyle w:val="cat-SumInWordsgrp-21rplc-55"/>
          <w:rFonts w:ascii="Times New Roman" w:eastAsia="Times New Roman" w:hAnsi="Times New Roman" w:cs="Times New Roman"/>
          <w:sz w:val="28"/>
          <w:szCs w:val="28"/>
          <w:highlight w:val="none"/>
        </w:rPr>
        <w:t>сумма прописью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на юридических лиц - от одного миллиона до </w:t>
      </w:r>
      <w:r>
        <w:rPr>
          <w:rStyle w:val="cat-SumInWordsgrp-22rplc-56"/>
          <w:rFonts w:ascii="Times New Roman" w:eastAsia="Times New Roman" w:hAnsi="Times New Roman" w:cs="Times New Roman"/>
          <w:sz w:val="28"/>
          <w:szCs w:val="28"/>
          <w:highlight w:val="none"/>
        </w:rPr>
        <w:t>сумма прописью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либо административное приостановление деятельности на срок до девяноста суток.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соответствии с ч. 1, 6 ст. 10 Федерального закона от 27.07.2006 № 149-ФЗ «Об информации, информационных технологиях и защите информации», в Российской Федерации распространение информации осуществляется свободно при соблюдении требований, установленных законодательством Российской Федерации. При этом запрещается распространение информации, которая направлена на пропаганду войны, разжигание национальной, расовой или религиозной ненависти и вражды, а также иной информации, за распространение которой предусмотрена уголовная или административная ответственность.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Также согласно ст. 39 Конституции Российской Федерации, ст. 1 Семейного кодекса Российской Федерации семья, материнство, отцовство и детство находятся под защитой государства.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соответствии со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ст.ст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 17, 34 Конвенции ООН «О правах ребенка» детям гарантируется право на получение информации, содействующей их социальному, духовному и моральному благополучию, а также здоровому физическому и психическому развитию.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Решением Верховного суда РФ от 30.11.2023 №АКПИ-990с (вступившим в законную силу 10.01.2024) международное общественное движение ЛГБТ и его структурные подразделения признаны экстремистскими и их деятельность запрещена на </w:t>
      </w:r>
      <w:r>
        <w:rPr>
          <w:rStyle w:val="cat-Addressgrp-4rplc-5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ЛГБТ движение осуществляет деятельность, направленную на уничтожение фундаментальных российских духовно-нравственных ценностей, в частности традиционных семейных ценностей, на пропаганду исключительности и превосходства либо неполноценности человека по признаку его сексуальной ориентации и гендерной идентичности, что создает реальную угрозу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общественным отношениям, возникающим в сфере защиты семьи, материнства, отцовства и детства, и основам конституционного строя Российской Федерации, поскольку преследует цель переформирования, фактически уничтожения фундаментальных российских духовно-нравственных ценностей, определенных Конституцией Российской Федерации.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Экстремизм во всех его проявлениях ведет к нарушению гражданского мира и согласия, подрывает общественную безопасность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государственную целостность Российской Федерации, создает реальную угрозу сохранению основ конституционного строя, межнационального (межэтнического) и межконфессионального согласия.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Пропаганда нетрадиционных сексуальных отношений и (или) предпочтений, смены пола, отказа от деторождения, совершенные с применением средств массовой информации и (или) информационно-телекоммуникационных сетей (в том числе сети «Интернет»), образует состав административного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правонарушения, предусмотренного ч. 3 ст. 6.21 КоАП РФ.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Егор Андреевич, размещая вышеуказанные публикац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"https://t.me/hemamejoy/419"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/419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"https://t.me/hemamejoy/413"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/4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13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"https://t.me/hemamejoy/390"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/390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instrText xml:space="preserve"> HYPERLINK "https://t.me/hemamejoy/388,https://t.me/hemamejoy/311,https://t.me/hemamejoy/158,h" </w:instrTex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/388,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/311,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t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me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hemamejoy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/158,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ttps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wall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745767203_502,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"https://vk.com/wall745767203_389"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https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://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vk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com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/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wall</w:t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745767203_389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осознавал, что он публично в открытом доступе совершает действия, направленные на пропаганду нетрадиционных сексуальных отношений, запрещенных на </w:t>
      </w:r>
      <w:r>
        <w:rPr>
          <w:rStyle w:val="cat-Addressgrp-4rplc-5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widowControl w:val="0"/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Непризнание вины, построение иной версии произошедшего суд оценивает в качестве реализации лица права на защиту.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Д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оводы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защиты </w:t>
      </w:r>
      <w:r>
        <w:rPr>
          <w:b w:val="0"/>
          <w:bCs w:val="0"/>
          <w:i w:val="0"/>
          <w:sz w:val="28"/>
          <w:szCs w:val="28"/>
          <w:highlight w:val="none"/>
        </w:rPr>
        <w:t>о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б отсутствии состава в действиях </w:t>
      </w:r>
      <w:r>
        <w:rPr>
          <w:b w:val="0"/>
          <w:bCs w:val="0"/>
          <w:i w:val="0"/>
          <w:sz w:val="28"/>
          <w:szCs w:val="28"/>
          <w:highlight w:val="none"/>
        </w:rPr>
        <w:t>Городжа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Е.А.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состава административного правонарушения является необоснованным, поскольку противоречит письменным материалам дела, фактическим обстоятельствам в их совокупности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, в том числе по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заключению эксперта № 2049/33-5-25, 2050/24-5-25 от 31.03.2025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в котором установлено, что </w:t>
      </w:r>
      <w:r>
        <w:rPr>
          <w:b w:val="0"/>
          <w:bCs w:val="0"/>
          <w:i w:val="0"/>
          <w:sz w:val="28"/>
          <w:szCs w:val="28"/>
          <w:highlight w:val="none"/>
        </w:rPr>
        <w:t>в постах, зафиксированных в видеофайлах под названием «</w:t>
      </w:r>
      <w:r>
        <w:rPr>
          <w:b w:val="0"/>
          <w:bCs w:val="0"/>
          <w:i w:val="0"/>
          <w:sz w:val="28"/>
          <w:szCs w:val="28"/>
          <w:highlight w:val="none"/>
        </w:rPr>
        <w:t>ВКонтакте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», «Телеграмм» </w:t>
      </w:r>
      <w:r>
        <w:rPr>
          <w:rStyle w:val="cat-Addressgrp-6rplc-61"/>
          <w:b w:val="0"/>
          <w:bCs w:val="0"/>
          <w:i w:val="0"/>
          <w:sz w:val="28"/>
          <w:szCs w:val="28"/>
          <w:highlight w:val="none"/>
        </w:rPr>
        <w:t>адрес</w:t>
      </w:r>
      <w:r>
        <w:rPr>
          <w:b w:val="0"/>
          <w:bCs w:val="0"/>
          <w:i w:val="0"/>
          <w:sz w:val="28"/>
          <w:szCs w:val="28"/>
          <w:highlight w:val="none"/>
        </w:rPr>
        <w:t>.» на представленном оптическом диске содержится совокупность лингвистических и психологических признаков пропаганды нетрадиционных сексуальных отношений (не между мужчиной и женщиной), что выражено положительной оценкой таких отношений как правильных, обоснованием необходимости сексуальных отношений не между мужчиной и женщиной</w:t>
      </w:r>
      <w:r>
        <w:rPr>
          <w:b w:val="0"/>
          <w:bCs w:val="0"/>
          <w:i w:val="0"/>
          <w:sz w:val="28"/>
          <w:szCs w:val="28"/>
          <w:highlight w:val="none"/>
        </w:rPr>
        <w:t>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Вопреки доводам защиты,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срок привлечения к административной ответственности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не пропущен. В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соответсвии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абзацем 13 Постановления Пленума Верховного суда от 24.03.2005г. №5 «О некоторых вопросах, возникающих у судов при применении Кодекса Российской Федерации об административных правонарушениях», что днем обнаружения длящегося административного правонарушения считается день, когда должностное лицо уполномоченное составлять протокол об административном правонарушен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ии, выявило факт его совершения.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аким лицом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 настоящему делу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является Бутырская межрайонная прокуратура </w:t>
      </w:r>
      <w:r>
        <w:rPr>
          <w:rStyle w:val="cat-Addressgrp-0rplc-6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составившая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акт осмотра сайтов в сети Интернет от 11 сентября 2025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вынес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эту же дату уполномоченным должностным лицом на его составление, следовательно суд исчисляет срок с давности с указанной даты.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учетом вышесказанного суд считает факт совершения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административного правонарушения, предусмотренного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ч. 3 ст. 6.21 КоАП РФ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установленным и доказанным.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Наличия в отношении привлекаемого лица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смягчающих,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отягчающих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исключающих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административную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ответственность обстоятельств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судом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установлено.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применении к лицу положений ст.2.9 КоАП РФ суд, с учетом характера и степени общественной опасности совершенного им административного правонарушения, целесообразности не усматривает.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Законных оснований для применения к лицу положений ч.3.2 ст.4.1 КоАП РФ суд законной возможности не видит, учитывая отсутствие исключительных обстоятельств, связанных с характером совершенного им административного правонарушения, а так же отсутствие у суда объективных данных об имущественном и финансовом положении лица.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При назначении привлекаемому лицу административного наказания суд учитывает характер и степень общественной опасности совершенного его административного правонарушения, конкретные обстоятельства совершенного им административного правонарушения, тот факт, что данных о его привлечении к административной ответственности за совершение однородных административных правонарушений в материалах настоящего дела об административном правонарушении не имеется, отсутствие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смягчающих,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отягчающих и исключающих обстоятельств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конкретные обстоятельства дела,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суд считает необходимым назначить административное наказание в виде административного штрафа. 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вышеизложенного и руководствуясь положениями ст.ст.29.9-29.11 КоАП РФ, суд </w:t>
      </w:r>
    </w:p>
    <w:p>
      <w:pPr>
        <w:spacing w:before="0" w:after="120"/>
        <w:ind w:firstLine="709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ПОСТАНОВИЛ: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Городжа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Егора Андреевича, </w:t>
      </w:r>
      <w:r>
        <w:rPr>
          <w:rStyle w:val="cat-ExternalSystemDefinedgrp-29rplc-65"/>
          <w:rFonts w:ascii="Times New Roman" w:eastAsia="Times New Roman" w:hAnsi="Times New Roman" w:cs="Times New Roman"/>
          <w:sz w:val="28"/>
          <w:szCs w:val="28"/>
          <w:highlight w:val="none"/>
        </w:rPr>
        <w:t>...</w:t>
      </w:r>
      <w:r>
        <w:rPr>
          <w:rStyle w:val="cat-PassportDatagrp-28rplc-66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(</w:t>
      </w:r>
      <w:r>
        <w:rPr>
          <w:rStyle w:val="cat-PassportDatagrp-26rplc-67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признать виновным в совершении административного правонарушения, предусмотренного ч.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6.21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КоАП РФ, и назначить ему административное наказание в виде административного штрафа в доход государства в размере </w:t>
      </w:r>
      <w:r>
        <w:rPr>
          <w:rStyle w:val="cat-Sumgrp-23rplc-68"/>
          <w:rFonts w:ascii="Times New Roman" w:eastAsia="Times New Roman" w:hAnsi="Times New Roman" w:cs="Times New Roman"/>
          <w:sz w:val="28"/>
          <w:szCs w:val="28"/>
          <w:highlight w:val="none"/>
        </w:rPr>
        <w:t>сумма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120"/>
        <w:ind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Административный штраф подлежит уплате по следующим реквизитам: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УИН ФССП России 32224000250001343113, наименование получателя УФК по </w:t>
      </w:r>
      <w:r>
        <w:rPr>
          <w:rStyle w:val="cat-Addressgrp-9rplc-6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(ГУ ФССП по </w:t>
      </w:r>
      <w:r>
        <w:rPr>
          <w:rStyle w:val="cat-Addressgrp-9rplc-7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л/с 04191785180), ИНН 2466124527, КПП 246501001, ОКТМО 04701000, счет получателя 03100643000000011900,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Счет 40102810245370000011, КБК 32211601061019000140, наименование банка Отделение Красноярск банка России//УФК по </w:t>
      </w:r>
      <w:r>
        <w:rPr>
          <w:rStyle w:val="cat-Addressgrp-10rplc-7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БИК 010407105.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Разъяснить привлекаемому лицу, что согласно положениям ст.32.2 КоАП РФ – а</w:t>
      </w:r>
      <w:r>
        <w:rPr>
          <w:b w:val="0"/>
          <w:bCs w:val="0"/>
          <w:i w:val="0"/>
          <w:sz w:val="28"/>
          <w:szCs w:val="28"/>
          <w:highlight w:val="none"/>
        </w:rPr>
        <w:t>дминистративный штраф должен быть уплачен лицом, привлеченным к административной ответственности, не позднее 60 дней со дня вступления постановления о наложении административного штрафа в законную силу либо со дня истечения срока отсрочки или срока рассрочки, предусмотренных ст.31.5 КоАП РФ.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Сумма административного штрафа вносится или переводится лицом, привлеченным к административной ответственности, в кредитную организацию, в том числе с привлечением банковского платежного агента или банковского платежного субагента, осуществляющих деятельность в соответствии с ФЗ «О национальной платежной системе», организацию федеральной почтовой связи либо платежному агенту, осуществляющему деятельность в соответствии с ФЗ №103-ФЗ от 03 июня 2009 года «О деятельности по приему платежей физических лиц, осуществляемой платежными агентами». При отсутствии документа, свидетельствующего об уплате административного штрафа, и информации об уплате административного штрафа в Государственной информационной системе о государственных и муниципальных платежах, по истечении срока, указанного в ч.1 ст.32.2 КоАП РФ, судья, вынесший постановление по делу об административном правонарушении, изготавливает второй экземпляр указанного постановления и направляет его в течение 10 суток судебному приставу-исполнителю для исполнения в порядке, предусмотренном федеральным законодательством, а в случае неуплаты штрафа в срок, указанный в ч.1 ст.32.2 КоАП РФ, в отношении лица, привлеченного к административной ответственности, может быть составлен протокол об административном правонарушении, предусмотренном ч.1 ст.20.25 КоАП РФ. 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Постановление может быть обжаловано в Московский городской суд в течение 10 суток с момента получения заинтересованными лицами его копий.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</w:t>
      </w:r>
    </w:p>
    <w:p>
      <w:pPr>
        <w:spacing w:before="0" w:after="0"/>
        <w:rPr>
          <w:sz w:val="20"/>
          <w:szCs w:val="20"/>
        </w:rPr>
      </w:pPr>
    </w:p>
    <w:p>
      <w:pPr>
        <w:spacing w:before="0" w:after="0"/>
        <w:rPr>
          <w:sz w:val="20"/>
          <w:szCs w:val="20"/>
        </w:rPr>
      </w:pP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  <w:r>
        <w:rPr>
          <w:b w:val="0"/>
          <w:bCs w:val="0"/>
          <w:i w:val="0"/>
          <w:sz w:val="28"/>
          <w:szCs w:val="28"/>
          <w:highlight w:val="none"/>
        </w:rPr>
        <w:t>Судья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  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  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 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i w:val="0"/>
          <w:sz w:val="28"/>
          <w:szCs w:val="28"/>
          <w:highlight w:val="none"/>
        </w:rPr>
        <w:t>А.В.</w:t>
      </w:r>
      <w:r>
        <w:rPr>
          <w:b w:val="0"/>
          <w:bCs w:val="0"/>
          <w:i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i w:val="0"/>
          <w:sz w:val="28"/>
          <w:szCs w:val="28"/>
          <w:highlight w:val="none"/>
        </w:rPr>
        <w:t>Островский</w:t>
      </w:r>
    </w:p>
    <w:p>
      <w:pPr>
        <w:pStyle w:val="Heading1"/>
        <w:spacing w:before="0" w:after="120"/>
        <w:ind w:firstLine="709"/>
        <w:jc w:val="both"/>
        <w:outlineLvl w:val="9"/>
        <w:rPr>
          <w:b/>
          <w:bCs/>
          <w:sz w:val="28"/>
          <w:szCs w:val="28"/>
        </w:rPr>
      </w:pPr>
    </w:p>
    <w:sectPr>
      <w:headerReference w:type="default" r:id="rId4"/>
      <w:pgMar w:header="708" w:footer="708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  <w:highlight w:val="none"/>
      </w:rPr>
      <w:instrText xml:space="preserve">PAGE  </w:instrText>
    </w:r>
    <w:r>
      <w:rPr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sz w:val="20"/>
        <w:szCs w:val="20"/>
        <w:highlight w:val="none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  <w:p>
    <w:pPr>
      <w:spacing w:before="0" w:after="0"/>
      <w:ind w:right="360"/>
      <w:rPr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Addressgrp-0rplc-0">
    <w:name w:val="cat-Address grp-0 rplc-0"/>
    <w:basedOn w:val="DefaultParagraphFont"/>
  </w:style>
  <w:style w:type="character" w:customStyle="1" w:styleId="cat-Addressgrp-0rplc-1">
    <w:name w:val="cat-Address grp-0 rplc-1"/>
    <w:basedOn w:val="DefaultParagraphFont"/>
  </w:style>
  <w:style w:type="character" w:customStyle="1" w:styleId="cat-ExternalSystemDefinedgrp-29rplc-4">
    <w:name w:val="cat-ExternalSystemDefined grp-29 rplc-4"/>
    <w:basedOn w:val="DefaultParagraphFont"/>
  </w:style>
  <w:style w:type="character" w:customStyle="1" w:styleId="cat-PassportDatagrp-24rplc-5">
    <w:name w:val="cat-PassportData grp-24 rplc-5"/>
    <w:basedOn w:val="DefaultParagraphFont"/>
  </w:style>
  <w:style w:type="character" w:customStyle="1" w:styleId="cat-PassportDatagrp-25rplc-6">
    <w:name w:val="cat-PassportData grp-25 rplc-6"/>
    <w:basedOn w:val="DefaultParagraphFont"/>
  </w:style>
  <w:style w:type="character" w:customStyle="1" w:styleId="cat-PassportDatagrp-26rplc-7">
    <w:name w:val="cat-PassportData grp-26 rplc-7"/>
    <w:basedOn w:val="DefaultParagraphFont"/>
  </w:style>
  <w:style w:type="character" w:customStyle="1" w:styleId="cat-Addressgrp-1rplc-8">
    <w:name w:val="cat-Address grp-1 rplc-8"/>
    <w:basedOn w:val="DefaultParagraphFont"/>
  </w:style>
  <w:style w:type="character" w:customStyle="1" w:styleId="cat-Addressgrp-2rplc-9">
    <w:name w:val="cat-Address grp-2 rplc-9"/>
    <w:basedOn w:val="DefaultParagraphFont"/>
  </w:style>
  <w:style w:type="character" w:customStyle="1" w:styleId="cat-Addressgrp-3rplc-10">
    <w:name w:val="cat-Address grp-3 rplc-10"/>
    <w:basedOn w:val="DefaultParagraphFont"/>
  </w:style>
  <w:style w:type="character" w:customStyle="1" w:styleId="cat-Addressgrp-0rplc-12">
    <w:name w:val="cat-Address grp-0 rplc-12"/>
    <w:basedOn w:val="DefaultParagraphFont"/>
  </w:style>
  <w:style w:type="character" w:customStyle="1" w:styleId="cat-Addressgrp-5rplc-13">
    <w:name w:val="cat-Address grp-5 rplc-13"/>
    <w:basedOn w:val="DefaultParagraphFont"/>
  </w:style>
  <w:style w:type="character" w:customStyle="1" w:styleId="cat-Addressgrp-0rplc-14">
    <w:name w:val="cat-Address grp-0 rplc-14"/>
    <w:basedOn w:val="DefaultParagraphFont"/>
  </w:style>
  <w:style w:type="character" w:customStyle="1" w:styleId="cat-FIOgrp-14rplc-15">
    <w:name w:val="cat-FIO grp-14 rplc-15"/>
    <w:basedOn w:val="DefaultParagraphFont"/>
  </w:style>
  <w:style w:type="character" w:customStyle="1" w:styleId="cat-Addressgrp-4rplc-16">
    <w:name w:val="cat-Address grp-4 rplc-16"/>
    <w:basedOn w:val="DefaultParagraphFont"/>
  </w:style>
  <w:style w:type="character" w:customStyle="1" w:styleId="cat-Addressgrp-5rplc-17">
    <w:name w:val="cat-Address grp-5 rplc-17"/>
    <w:basedOn w:val="DefaultParagraphFont"/>
  </w:style>
  <w:style w:type="character" w:customStyle="1" w:styleId="cat-Addressgrp-0rplc-18">
    <w:name w:val="cat-Address grp-0 rplc-18"/>
    <w:basedOn w:val="DefaultParagraphFont"/>
  </w:style>
  <w:style w:type="character" w:customStyle="1" w:styleId="cat-FIOgrp-15rplc-19">
    <w:name w:val="cat-FIO grp-15 rplc-19"/>
    <w:basedOn w:val="DefaultParagraphFont"/>
  </w:style>
  <w:style w:type="character" w:customStyle="1" w:styleId="cat-Addressgrp-6rplc-20">
    <w:name w:val="cat-Address grp-6 rplc-20"/>
    <w:basedOn w:val="DefaultParagraphFont"/>
  </w:style>
  <w:style w:type="character" w:customStyle="1" w:styleId="cat-Addressgrp-7rplc-21">
    <w:name w:val="cat-Address grp-7 rplc-21"/>
    <w:basedOn w:val="DefaultParagraphFont"/>
  </w:style>
  <w:style w:type="character" w:customStyle="1" w:styleId="cat-Addressgrp-5rplc-22">
    <w:name w:val="cat-Address grp-5 rplc-22"/>
    <w:basedOn w:val="DefaultParagraphFont"/>
  </w:style>
  <w:style w:type="character" w:customStyle="1" w:styleId="cat-Addressgrp-0rplc-23">
    <w:name w:val="cat-Address grp-0 rplc-23"/>
    <w:basedOn w:val="DefaultParagraphFont"/>
  </w:style>
  <w:style w:type="character" w:customStyle="1" w:styleId="cat-Addressgrp-5rplc-24">
    <w:name w:val="cat-Address grp-5 rplc-24"/>
    <w:basedOn w:val="DefaultParagraphFont"/>
  </w:style>
  <w:style w:type="character" w:customStyle="1" w:styleId="cat-Addressgrp-0rplc-25">
    <w:name w:val="cat-Address grp-0 rplc-25"/>
    <w:basedOn w:val="DefaultParagraphFont"/>
  </w:style>
  <w:style w:type="character" w:customStyle="1" w:styleId="cat-FIOgrp-16rplc-26">
    <w:name w:val="cat-FIO grp-16 rplc-26"/>
    <w:basedOn w:val="DefaultParagraphFont"/>
  </w:style>
  <w:style w:type="character" w:customStyle="1" w:styleId="cat-Addressgrp-5rplc-27">
    <w:name w:val="cat-Address grp-5 rplc-27"/>
    <w:basedOn w:val="DefaultParagraphFont"/>
  </w:style>
  <w:style w:type="character" w:customStyle="1" w:styleId="cat-Addressgrp-0rplc-28">
    <w:name w:val="cat-Address grp-0 rplc-28"/>
    <w:basedOn w:val="DefaultParagraphFont"/>
  </w:style>
  <w:style w:type="character" w:customStyle="1" w:styleId="cat-ExternalSystemDefinedgrp-29rplc-30">
    <w:name w:val="cat-ExternalSystemDefined grp-29 rplc-30"/>
    <w:basedOn w:val="DefaultParagraphFont"/>
  </w:style>
  <w:style w:type="character" w:customStyle="1" w:styleId="cat-PassportDatagrp-27rplc-31">
    <w:name w:val="cat-PassportData grp-27 rplc-31"/>
    <w:basedOn w:val="DefaultParagraphFont"/>
  </w:style>
  <w:style w:type="character" w:customStyle="1" w:styleId="cat-Addressgrp-2rplc-32">
    <w:name w:val="cat-Address grp-2 rplc-32"/>
    <w:basedOn w:val="DefaultParagraphFont"/>
  </w:style>
  <w:style w:type="character" w:customStyle="1" w:styleId="cat-Addressgrp-8rplc-33">
    <w:name w:val="cat-Address grp-8 rplc-33"/>
    <w:basedOn w:val="DefaultParagraphFont"/>
  </w:style>
  <w:style w:type="character" w:customStyle="1" w:styleId="cat-Addressgrp-4rplc-35">
    <w:name w:val="cat-Address grp-4 rplc-35"/>
    <w:basedOn w:val="DefaultParagraphFont"/>
  </w:style>
  <w:style w:type="character" w:customStyle="1" w:styleId="cat-FIOgrp-18rplc-37">
    <w:name w:val="cat-FIO grp-18 rplc-37"/>
    <w:basedOn w:val="DefaultParagraphFont"/>
  </w:style>
  <w:style w:type="character" w:customStyle="1" w:styleId="cat-Addressgrp-0rplc-40">
    <w:name w:val="cat-Address grp-0 rplc-40"/>
    <w:basedOn w:val="DefaultParagraphFont"/>
  </w:style>
  <w:style w:type="character" w:customStyle="1" w:styleId="cat-FIOgrp-19rplc-41">
    <w:name w:val="cat-FIO grp-19 rplc-41"/>
    <w:basedOn w:val="DefaultParagraphFont"/>
  </w:style>
  <w:style w:type="character" w:customStyle="1" w:styleId="cat-Addressgrp-0rplc-44">
    <w:name w:val="cat-Address grp-0 rplc-44"/>
    <w:basedOn w:val="DefaultParagraphFont"/>
  </w:style>
  <w:style w:type="character" w:customStyle="1" w:styleId="cat-Addressgrp-5rplc-48">
    <w:name w:val="cat-Address grp-5 rplc-48"/>
    <w:basedOn w:val="DefaultParagraphFont"/>
  </w:style>
  <w:style w:type="character" w:customStyle="1" w:styleId="cat-Addressgrp-0rplc-49">
    <w:name w:val="cat-Address grp-0 rplc-49"/>
    <w:basedOn w:val="DefaultParagraphFont"/>
  </w:style>
  <w:style w:type="character" w:customStyle="1" w:styleId="cat-Addressgrp-5rplc-50">
    <w:name w:val="cat-Address grp-5 rplc-50"/>
    <w:basedOn w:val="DefaultParagraphFont"/>
  </w:style>
  <w:style w:type="character" w:customStyle="1" w:styleId="cat-Addressgrp-0rplc-51">
    <w:name w:val="cat-Address grp-0 rplc-51"/>
    <w:basedOn w:val="DefaultParagraphFont"/>
  </w:style>
  <w:style w:type="character" w:customStyle="1" w:styleId="cat-SumInWordsgrp-20rplc-54">
    <w:name w:val="cat-SumInWords grp-20 rplc-54"/>
    <w:basedOn w:val="DefaultParagraphFont"/>
  </w:style>
  <w:style w:type="character" w:customStyle="1" w:styleId="cat-SumInWordsgrp-21rplc-55">
    <w:name w:val="cat-SumInWords grp-21 rplc-55"/>
    <w:basedOn w:val="DefaultParagraphFont"/>
  </w:style>
  <w:style w:type="character" w:customStyle="1" w:styleId="cat-SumInWordsgrp-22rplc-56">
    <w:name w:val="cat-SumInWords grp-22 rplc-56"/>
    <w:basedOn w:val="DefaultParagraphFont"/>
  </w:style>
  <w:style w:type="character" w:customStyle="1" w:styleId="cat-Addressgrp-4rplc-57">
    <w:name w:val="cat-Address grp-4 rplc-57"/>
    <w:basedOn w:val="DefaultParagraphFont"/>
  </w:style>
  <w:style w:type="character" w:customStyle="1" w:styleId="cat-Addressgrp-4rplc-59">
    <w:name w:val="cat-Address grp-4 rplc-59"/>
    <w:basedOn w:val="DefaultParagraphFont"/>
  </w:style>
  <w:style w:type="character" w:customStyle="1" w:styleId="cat-Addressgrp-6rplc-61">
    <w:name w:val="cat-Address grp-6 rplc-61"/>
    <w:basedOn w:val="DefaultParagraphFont"/>
  </w:style>
  <w:style w:type="character" w:customStyle="1" w:styleId="cat-Addressgrp-0rplc-62">
    <w:name w:val="cat-Address grp-0 rplc-62"/>
    <w:basedOn w:val="DefaultParagraphFont"/>
  </w:style>
  <w:style w:type="character" w:customStyle="1" w:styleId="cat-ExternalSystemDefinedgrp-29rplc-65">
    <w:name w:val="cat-ExternalSystemDefined grp-29 rplc-65"/>
    <w:basedOn w:val="DefaultParagraphFont"/>
  </w:style>
  <w:style w:type="character" w:customStyle="1" w:styleId="cat-PassportDatagrp-28rplc-66">
    <w:name w:val="cat-PassportData grp-28 rplc-66"/>
    <w:basedOn w:val="DefaultParagraphFont"/>
  </w:style>
  <w:style w:type="character" w:customStyle="1" w:styleId="cat-PassportDatagrp-26rplc-67">
    <w:name w:val="cat-PassportData grp-26 rplc-67"/>
    <w:basedOn w:val="DefaultParagraphFont"/>
  </w:style>
  <w:style w:type="character" w:customStyle="1" w:styleId="cat-Sumgrp-23rplc-68">
    <w:name w:val="cat-Sum grp-23 rplc-68"/>
    <w:basedOn w:val="DefaultParagraphFont"/>
  </w:style>
  <w:style w:type="character" w:customStyle="1" w:styleId="cat-Addressgrp-9rplc-69">
    <w:name w:val="cat-Address grp-9 rplc-69"/>
    <w:basedOn w:val="DefaultParagraphFont"/>
  </w:style>
  <w:style w:type="character" w:customStyle="1" w:styleId="cat-Addressgrp-9rplc-70">
    <w:name w:val="cat-Address grp-9 rplc-70"/>
    <w:basedOn w:val="DefaultParagraphFont"/>
  </w:style>
  <w:style w:type="character" w:customStyle="1" w:styleId="cat-Addressgrp-10rplc-71">
    <w:name w:val="cat-Address grp-10 rplc-71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