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6.2.0.0 -->
  <w:background w:color="ffffff">
    <v:background id="_x0000_s1025" filled="t" fillcolor="white"/>
  </w:background>
  <w:body>
    <w:p>
      <w:pPr>
        <w:spacing w:before="0" w:after="0"/>
        <w:ind w:firstLine="567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Дело №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5-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0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7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69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/2025</w:t>
      </w:r>
    </w:p>
    <w:p>
      <w:pPr>
        <w:spacing w:before="0" w:after="0"/>
        <w:ind w:firstLine="567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77RS0017-02-2025-018438-59</w:t>
      </w:r>
    </w:p>
    <w:p>
      <w:pPr>
        <w:spacing w:before="0" w:after="0"/>
        <w:ind w:firstLine="567"/>
        <w:jc w:val="center"/>
        <w:rPr>
          <w:sz w:val="28"/>
          <w:szCs w:val="28"/>
        </w:rPr>
      </w:pPr>
    </w:p>
    <w:p>
      <w:pPr>
        <w:spacing w:before="0" w:after="0"/>
        <w:ind w:firstLine="567"/>
        <w:jc w:val="center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ПОСТАНОВЛЕНИЕ</w:t>
      </w:r>
    </w:p>
    <w:p>
      <w:pPr>
        <w:spacing w:before="0" w:after="0"/>
        <w:ind w:firstLine="567"/>
        <w:jc w:val="both"/>
        <w:rPr>
          <w:sz w:val="28"/>
          <w:szCs w:val="28"/>
        </w:rPr>
      </w:pP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21 октября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2025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 года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                        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      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                  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      </w:t>
      </w:r>
      <w:r>
        <w:rPr>
          <w:rStyle w:val="cat-Addressgrp-0rplc-0"/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адрес</w:t>
      </w:r>
    </w:p>
    <w:p>
      <w:pPr>
        <w:spacing w:before="0" w:after="0"/>
        <w:ind w:firstLine="567"/>
        <w:jc w:val="both"/>
        <w:rPr>
          <w:sz w:val="28"/>
          <w:szCs w:val="28"/>
        </w:rPr>
      </w:pP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Судья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Нагатинского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районного суда </w:t>
      </w:r>
      <w:r>
        <w:rPr>
          <w:rStyle w:val="cat-Addressgrp-1rplc-1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, рассмотрев в открытом судебном заседании дело об административном правонарушении, предусмотренное ч. 1 ст. 20.3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КРФоАП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в отношении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Рубцова Ивана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Алексеевича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, </w:t>
      </w:r>
      <w:r>
        <w:rPr>
          <w:rStyle w:val="cat-PassportDatagrp-17rplc-3"/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паспортные данные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граждан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ина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Российской Федерации, зарегистрированно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го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по адресу: </w:t>
      </w:r>
      <w:r>
        <w:rPr>
          <w:rStyle w:val="cat-Addressgrp-2rplc-4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ранее не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привлекавшегося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к административной ответственности</w:t>
      </w:r>
    </w:p>
    <w:p>
      <w:pPr>
        <w:spacing w:before="0" w:after="0"/>
        <w:ind w:firstLine="567"/>
        <w:jc w:val="center"/>
        <w:rPr>
          <w:sz w:val="28"/>
          <w:szCs w:val="28"/>
        </w:rPr>
      </w:pPr>
    </w:p>
    <w:p>
      <w:pPr>
        <w:spacing w:before="0" w:after="0"/>
        <w:ind w:firstLine="567"/>
        <w:jc w:val="center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УСТАНОВИЛ: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Согласно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п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остановлению заместителя прокурора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Южного администртативного округа </w:t>
      </w:r>
      <w:r>
        <w:rPr>
          <w:rStyle w:val="cat-Addressgrp-3rplc-5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о возбуждении производства об административном правонарушении от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21 октября 2025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года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, установлено, что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Рубцов И.А.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совершил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административное правонарушение, предусмотренное ч. 1 ст.20.3 КоАП РФ, так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18.09.2025, сотрудниками ЦПЭ УВД по </w:t>
      </w:r>
      <w:r>
        <w:rPr>
          <w:rStyle w:val="cat-Addressgrp-5rplc-7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ГУ МВД России по </w:t>
      </w:r>
      <w:r>
        <w:rPr>
          <w:rStyle w:val="cat-Addressgrp-3rplc-8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в служебном кабинете №8-82 УВД по </w:t>
      </w:r>
      <w:r>
        <w:rPr>
          <w:rStyle w:val="cat-Addressgrp-5rplc-9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ГУ МВД России по </w:t>
      </w:r>
      <w:r>
        <w:rPr>
          <w:rStyle w:val="cat-Addressgrp-3rplc-10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по адресу </w:t>
      </w:r>
      <w:r>
        <w:rPr>
          <w:rStyle w:val="cat-Addressgrp-4rplc-11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, проведен осмотр интернет-страницы hpttps://vk.com/https://vk.com/wickmer, находящегося в сети Интернет по электронному адресу https://vk.com, по результатам которого составлен Акт осмотра сайта.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Осмотром указанной Web-страницы установлено, что её администратором является пользователь: </w:t>
      </w:r>
      <w:r>
        <w:rPr>
          <w:rStyle w:val="cat-FIOgrp-11rplc-12"/>
          <w:rFonts w:ascii="Times New Roman" w:eastAsia="Times New Roman" w:hAnsi="Times New Roman" w:cs="Times New Roman"/>
          <w:sz w:val="28"/>
          <w:szCs w:val="28"/>
          <w:highlight w:val="none"/>
        </w:rPr>
        <w:t>фио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(wickmer), </w:t>
      </w:r>
      <w:r>
        <w:rPr>
          <w:rStyle w:val="cat-Addressgrp-3rplc-13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, у которого 134 человека в категории «Друзья», 115 подписчиков, 197 подписок, доступ к указанной странице имеет любой пользователь социальной сети «ВКонтакте».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На указанной странице https://vk.com/wickme, в категории «Сохраненные фото </w:t>
      </w:r>
      <w:r>
        <w:rPr>
          <w:rStyle w:val="cat-FIOgrp-12rplc-14"/>
          <w:rFonts w:ascii="Times New Roman" w:eastAsia="Times New Roman" w:hAnsi="Times New Roman" w:cs="Times New Roman"/>
          <w:sz w:val="28"/>
          <w:szCs w:val="28"/>
          <w:highlight w:val="none"/>
        </w:rPr>
        <w:t>фио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» https://vk.com/album87078091_000?rev=1, 09 июня 2019 года опубликован фотоснимок: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https://vk.com/album87078091_000?rev=1&amp;z=photo87078091_456271462%2Falbum87078091_000, а именно: фотоснимок ребенка в руках у которого «радужный флаг» – интернациональный символ ЛГБТ-сообщества, доступ к которому имеет неограниченный круг пользователей социальной сети.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Согласно информации ООО «Вконтакте», установлен id страницы «Иван Рубцов» – id87078091, адрес wickmer, а также мобильный телефон пользователя при регистрации данной страницы 8-964-556-58-62.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Указанный номер мобильного телефона, согласно результатам оперативно-технических мероприятий, проведенных ЦПЭ УВД по </w:t>
      </w:r>
      <w:r>
        <w:rPr>
          <w:rStyle w:val="cat-Addressgrp-5rplc-15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ГУ МВД России по </w:t>
      </w:r>
      <w:r>
        <w:rPr>
          <w:rStyle w:val="cat-Addressgrp-3rplc-16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во взаимодействии с ОСТМ УВД по </w:t>
      </w:r>
      <w:r>
        <w:rPr>
          <w:rStyle w:val="cat-Addressgrp-5rplc-17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ГУ МВД России по </w:t>
      </w:r>
      <w:r>
        <w:rPr>
          <w:rStyle w:val="cat-Addressgrp-3rplc-18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, находится в пользовании Рубцова Ивана Алексеевича, </w:t>
      </w:r>
      <w:r>
        <w:rPr>
          <w:rStyle w:val="cat-ExternalSystemDefinedgrp-24rplc-20"/>
          <w:rFonts w:ascii="Times New Roman" w:eastAsia="Times New Roman" w:hAnsi="Times New Roman" w:cs="Times New Roman"/>
          <w:sz w:val="28"/>
          <w:szCs w:val="28"/>
          <w:highlight w:val="none"/>
        </w:rPr>
        <w:t>...</w:t>
      </w:r>
      <w:r>
        <w:rPr>
          <w:rStyle w:val="cat-PassportDatagrp-18rplc-21"/>
          <w:rFonts w:ascii="Times New Roman" w:eastAsia="Times New Roman" w:hAnsi="Times New Roman" w:cs="Times New Roman"/>
          <w:sz w:val="28"/>
          <w:szCs w:val="28"/>
          <w:highlight w:val="none"/>
        </w:rPr>
        <w:t>паспортные данные</w:t>
      </w:r>
      <w:r>
        <w:rPr>
          <w:rStyle w:val="cat-ExternalSystemDefinedgrp-21rplc-22"/>
          <w:rFonts w:ascii="Times New Roman" w:eastAsia="Times New Roman" w:hAnsi="Times New Roman" w:cs="Times New Roman"/>
          <w:sz w:val="28"/>
          <w:szCs w:val="28"/>
          <w:highlight w:val="none"/>
        </w:rPr>
        <w:t>...</w:t>
      </w:r>
      <w:r>
        <w:rPr>
          <w:rStyle w:val="cat-ExternalSystemDefinedgrp-22rplc-23"/>
          <w:rFonts w:ascii="Times New Roman" w:eastAsia="Times New Roman" w:hAnsi="Times New Roman" w:cs="Times New Roman"/>
          <w:sz w:val="28"/>
          <w:szCs w:val="28"/>
          <w:highlight w:val="none"/>
        </w:rPr>
        <w:t>...</w:t>
      </w:r>
      <w:r>
        <w:rPr>
          <w:rStyle w:val="cat-ExternalSystemDefinedgrp-23rplc-24"/>
          <w:rFonts w:ascii="Times New Roman" w:eastAsia="Times New Roman" w:hAnsi="Times New Roman" w:cs="Times New Roman"/>
          <w:sz w:val="28"/>
          <w:szCs w:val="28"/>
          <w:highlight w:val="none"/>
        </w:rPr>
        <w:t>...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.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Таким образом, Рубцов Иван Алексеевич, </w:t>
      </w:r>
      <w:r>
        <w:rPr>
          <w:rStyle w:val="cat-ExternalSystemDefinedgrp-24rplc-26"/>
          <w:rFonts w:ascii="Times New Roman" w:eastAsia="Times New Roman" w:hAnsi="Times New Roman" w:cs="Times New Roman"/>
          <w:sz w:val="28"/>
          <w:szCs w:val="28"/>
          <w:highlight w:val="none"/>
        </w:rPr>
        <w:t>...</w:t>
      </w:r>
      <w:r>
        <w:rPr>
          <w:rStyle w:val="cat-PassportDatagrp-19rplc-27"/>
          <w:rFonts w:ascii="Times New Roman" w:eastAsia="Times New Roman" w:hAnsi="Times New Roman" w:cs="Times New Roman"/>
          <w:sz w:val="28"/>
          <w:szCs w:val="28"/>
          <w:highlight w:val="none"/>
        </w:rPr>
        <w:t>паспортные данные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, разместив фотоснимок ребенка в руках у которого «радужный флаг» – интернациональный символ ЛГБТ-сообщества, нарушил требования ст. 13 Федерального закона от 25.07.2002 № 114-ФЗ «О противодействии экстремистской деятельности», запрещающей распространение на </w:t>
      </w:r>
      <w:r>
        <w:rPr>
          <w:rStyle w:val="cat-Addressgrp-6rplc-28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экстремистских материалов.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Рубцов И.А.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в судебном заседании вину в совершении вмененного е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му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администр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ативного правонарушения признал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, обстоятельства, изложенные в протоколе об административном правонаруше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нии, в полном объеме подтвердил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, поясни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в, что действительно разместил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указанные изображения на своей странице «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ВКонтакте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»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и до настоящего времени не удалил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. Вину признает и раскаивается.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Помощник прокурора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Нагатинской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межрайонной прокуратуры </w:t>
      </w:r>
      <w:r>
        <w:rPr>
          <w:rStyle w:val="cat-Addressgrp-7rplc-30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Style w:val="cat-FIOgrp-14rplc-31"/>
          <w:rFonts w:ascii="Times New Roman" w:eastAsia="Times New Roman" w:hAnsi="Times New Roman" w:cs="Times New Roman"/>
          <w:sz w:val="28"/>
          <w:szCs w:val="28"/>
          <w:highlight w:val="none"/>
        </w:rPr>
        <w:t>фио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поддержал постановление о возбуждении дела об административ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ном правонарушении,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просил привлечь </w:t>
      </w:r>
      <w:r>
        <w:rPr>
          <w:rStyle w:val="cat-FIOgrp-15rplc-32"/>
          <w:rFonts w:ascii="Times New Roman" w:eastAsia="Times New Roman" w:hAnsi="Times New Roman" w:cs="Times New Roman"/>
          <w:sz w:val="28"/>
          <w:szCs w:val="28"/>
          <w:highlight w:val="none"/>
        </w:rPr>
        <w:t>фио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к административной ответственности, полагая его вину в совершении административного правонарушения, предусмотренного ст.20.3.1 КоАП РФ доказанной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.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Выслушав явившихся участников процесса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исследовав письменные материалы дела, оценив все представленные суду доказательства в их совокупности, суд считает, что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вина </w:t>
      </w:r>
      <w:r>
        <w:rPr>
          <w:rStyle w:val="cat-FIOgrp-15rplc-33"/>
          <w:rFonts w:ascii="Times New Roman" w:eastAsia="Times New Roman" w:hAnsi="Times New Roman" w:cs="Times New Roman"/>
          <w:sz w:val="28"/>
          <w:szCs w:val="28"/>
          <w:highlight w:val="none"/>
        </w:rPr>
        <w:t>фио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в совершении вменяемого административного правонарушения полностью установлена и доказана.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Так вина </w:t>
      </w:r>
      <w:r>
        <w:rPr>
          <w:rStyle w:val="cat-FIOgrp-15rplc-34"/>
          <w:rFonts w:ascii="Times New Roman" w:eastAsia="Times New Roman" w:hAnsi="Times New Roman" w:cs="Times New Roman"/>
          <w:sz w:val="28"/>
          <w:szCs w:val="28"/>
          <w:highlight w:val="none"/>
        </w:rPr>
        <w:t>фио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подтверждается письменными материалами дела: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-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постановлением о возбуждении дела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об административном правонарушении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от 21.10.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2025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г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., согласно которому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18.09.2025, сотрудниками ЦПЭ УВД по </w:t>
      </w:r>
      <w:r>
        <w:rPr>
          <w:rStyle w:val="cat-Addressgrp-5rplc-35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ГУ МВД России по </w:t>
      </w:r>
      <w:r>
        <w:rPr>
          <w:rStyle w:val="cat-Addressgrp-3rplc-36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в служебном кабинете №8-82 УВД по </w:t>
      </w:r>
      <w:r>
        <w:rPr>
          <w:rStyle w:val="cat-Addressgrp-5rplc-37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ГУ МВД России по </w:t>
      </w:r>
      <w:r>
        <w:rPr>
          <w:rStyle w:val="cat-Addressgrp-3rplc-38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по адресу </w:t>
      </w:r>
      <w:r>
        <w:rPr>
          <w:rStyle w:val="cat-Addressgrp-4rplc-39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, проведен осмотр интернет-страницы hpttps://vk.com/https://vk.com/wickmer, находящегося в сети Интернет по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электронному адресу https://vk.com, по результатам которо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го составлен Акт осмотра сайта.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На указанной странице https://vk.com/wickme, в категории «Сохраненные фото </w:t>
      </w:r>
      <w:r>
        <w:rPr>
          <w:rStyle w:val="cat-FIOgrp-12rplc-40"/>
          <w:rFonts w:ascii="Times New Roman" w:eastAsia="Times New Roman" w:hAnsi="Times New Roman" w:cs="Times New Roman"/>
          <w:sz w:val="28"/>
          <w:szCs w:val="28"/>
          <w:highlight w:val="none"/>
        </w:rPr>
        <w:t>фио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» https://vk.com/album87078091_000?rev=1, 09 июня 2019 года опубликован фотоснимок: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https://vk.com/album87078091_000?rev=1&amp;z=photo87078091_456271462%2Falbum87078091_000, а именно: фотоснимок ребенка в руках у которого «радужный флаг» – интернациональный символ ЛГБТ-сообщества, доступ к которому имеет неограниченный круг пользователей социальной сети.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; фотоматериалами;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актом осмотра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указанной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Web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-страницы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которым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установлено, что её администратором является пользователь: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Style w:val="cat-FIOgrp-11rplc-41"/>
          <w:rFonts w:ascii="Times New Roman" w:eastAsia="Times New Roman" w:hAnsi="Times New Roman" w:cs="Times New Roman"/>
          <w:sz w:val="28"/>
          <w:szCs w:val="28"/>
          <w:highlight w:val="none"/>
        </w:rPr>
        <w:t>фио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wickmer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), </w:t>
      </w:r>
      <w:r>
        <w:rPr>
          <w:rStyle w:val="cat-Addressgrp-3rplc-42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, у которого 134 человека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в категории «Друзья», 115 подписчиков, 197 подписок, доступ к указанной странице имеет любой пользоват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ель социальной сети «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ВКонтакте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»;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иными материалами дела. 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Суд признает данные доказательства в их совокупности достоверными и допустимыми, поскольку они согласуются друг с другом, противоречий не содержат. 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Суд доверяет признательным показаниям </w:t>
      </w:r>
      <w:r>
        <w:rPr>
          <w:rStyle w:val="cat-FIOgrp-15rplc-43"/>
          <w:rFonts w:ascii="Times New Roman" w:eastAsia="Times New Roman" w:hAnsi="Times New Roman" w:cs="Times New Roman"/>
          <w:sz w:val="28"/>
          <w:szCs w:val="28"/>
          <w:highlight w:val="none"/>
        </w:rPr>
        <w:t>фио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в судебном заседании, поскольку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его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показания согласуются со всей совокупностью письменных доказательств по делу, оснований для самооговора у </w:t>
      </w:r>
      <w:r>
        <w:rPr>
          <w:rStyle w:val="cat-FIOgrp-15rplc-44"/>
          <w:rFonts w:ascii="Times New Roman" w:eastAsia="Times New Roman" w:hAnsi="Times New Roman" w:cs="Times New Roman"/>
          <w:sz w:val="28"/>
          <w:szCs w:val="28"/>
          <w:highlight w:val="none"/>
        </w:rPr>
        <w:t>фио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не установлено.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Частью 1 ст. 20.3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КРФоАП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предусмотрена административная ответственность за пропаганду либо публичное демонстрирование нацистской атрибутики или символики, либо атрибутики или символики, сходных с нацистской атрибутикой или символикой до степени смешения, либо атрибутики или символики экстремистских организаций, либо иных атрибутики или символики, пропаганда либо публичное демонстрирование которых запрещены федеральными законами.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Согласно ст. 1 Федерального закона «О противодействии экстремистской деятельности» под экстремистской деятельностью (экстремизм) понимается, в том числе использование нацистской атрибутики или символики, либо атрибутики или символики, сходных с нацистской атрибутикой или символикой до степени смешения, либо атрибутики или символики экстремистских организаций, за исключением случаев использования нацистской атрибутики или символики, либо атрибутики или символики, сходных с нацистской атрибутикой или символикой до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степени смешения, либо атрибутики или символики экстремистских организаций, при которых формируется негативное отношение к идеологии нацизма и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экстремизма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и отсутствуют признаки пропаганды или оправдания нацистской и экстремистской идеологии. 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Решением Верховного суда Российской Федерации от 30.11.2023 № АКПИ-990с (вступившее в законную силу 10.01.2024) международное общественное движение ЛГБТ и его структурные подразделения признаны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экстремистскими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и их деятельность запрещена на </w:t>
      </w:r>
      <w:r>
        <w:rPr>
          <w:rStyle w:val="cat-Addressgrp-6rplc-45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.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ЛГБТ движение осуществляет деятельность, направленную на уничтожение фундаментальных российских духовно-нравственных ценностей, в частности традиционных семейных ценностей, на пропаганду исключительности и превосходства либо неполноценности человека по признаку его сексуальной ориентации и гендерной идентичности, что создает реальную угрозу общественным отношениям, возникающим в сфере защиты семьи, материнства, отцовства и детства, и основам конституционного строя Российской Федерации, поскольку преследует цель переформирования, фактически уничтожения фундаментальных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российских духовно-нравственных ценностей, определенных Конституцией Российской Федерации.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Под демонстрацией экстремистской символики и атрибутики понимается ее публичное выставление, показ, ношение, вывешивание, изображение,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воспроизведение на страницах печатных изданий или в фот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о-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, кино-и видеоматериалах, тиражирование и другие действия, делающие ее восприятие доступным. 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Экстремизм во всех его проявлениях ведет к нарушению гражданского мира и согласия, подрывает общественную безопасность и государственную целостность Российской Федерации, создает реальную угрозу сохранению основ конституционного строя, межнационального (межэтнического) и межконфессионального согласия.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Обстоятельствами, смягчающими административную ответственность, в соответствии со ст. 4.2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КРФоАП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, суд признает раскаяние лица, совершившего административное правона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рушение, полное признание вины.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Обстоятельства, отягчающие административную ответственность </w:t>
      </w:r>
      <w:r>
        <w:rPr>
          <w:rStyle w:val="cat-FIOgrp-15rplc-46"/>
          <w:rFonts w:ascii="Times New Roman" w:eastAsia="Times New Roman" w:hAnsi="Times New Roman" w:cs="Times New Roman"/>
          <w:sz w:val="28"/>
          <w:szCs w:val="28"/>
          <w:highlight w:val="none"/>
        </w:rPr>
        <w:t>фио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, предусмотренные ст. 4.3.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КРФоАП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, в суде не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установлены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.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При назначении наказания суд учитывает обстоятельства, характер и степень общественной опасности совершенного административного правонарушения, личность </w:t>
      </w:r>
      <w:r>
        <w:rPr>
          <w:rStyle w:val="cat-FIOgrp-15rplc-47"/>
          <w:rFonts w:ascii="Times New Roman" w:eastAsia="Times New Roman" w:hAnsi="Times New Roman" w:cs="Times New Roman"/>
          <w:sz w:val="28"/>
          <w:szCs w:val="28"/>
          <w:highlight w:val="none"/>
        </w:rPr>
        <w:t>фио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, конкретные обстоятельства дела, и считает необходимым назначить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Рубцову И.А.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наказание в виде административного ареста, поскольку, по мнению суда, назначение более мягкого вида наказания не будет отвечать в данном случае целям и задачам законодательства об административных правонарушениях.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На основании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изложенного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и руководствуясь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ст.ст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. 29.9-29.11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КРФоАП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, суд </w:t>
      </w:r>
    </w:p>
    <w:p>
      <w:pPr>
        <w:spacing w:before="0" w:after="0"/>
        <w:ind w:firstLine="567"/>
        <w:jc w:val="center"/>
        <w:rPr>
          <w:sz w:val="28"/>
          <w:szCs w:val="28"/>
        </w:rPr>
      </w:pPr>
    </w:p>
    <w:p>
      <w:pPr>
        <w:spacing w:before="0" w:after="0"/>
        <w:ind w:firstLine="567"/>
        <w:jc w:val="center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ПОСТАНОВИЛ:</w:t>
      </w:r>
    </w:p>
    <w:p>
      <w:pPr>
        <w:spacing w:before="0" w:after="0"/>
        <w:ind w:firstLine="567"/>
        <w:jc w:val="center"/>
        <w:rPr>
          <w:sz w:val="28"/>
          <w:szCs w:val="28"/>
        </w:rPr>
      </w:pPr>
    </w:p>
    <w:p>
      <w:pPr>
        <w:widowControl w:val="0"/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Рубцова Ивана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Алексеевича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,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  </w:t>
      </w:r>
      <w:r>
        <w:rPr>
          <w:rStyle w:val="cat-ExternalSystemDefinedgrp-24rplc-50"/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...</w:t>
      </w:r>
      <w:r>
        <w:rPr>
          <w:rStyle w:val="cat-PassportDatagrp-20rplc-51"/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паспортные данные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признать виновн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ым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в совершении административного правонарушения, предусмотренного ч. 1 ст. 20.3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КРФоАП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, и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назначить административное наказание в виде административного ареста сроком на 1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5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(пятнадцать)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суток.</w:t>
      </w:r>
    </w:p>
    <w:p>
      <w:pPr>
        <w:widowControl w:val="0"/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Срок отбытия наказания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Рубцов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у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 И.А.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исчислять с 14 час. 00 минут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21 октября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 2025 года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.</w:t>
      </w:r>
    </w:p>
    <w:p>
      <w:pPr>
        <w:widowControl w:val="0"/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Постановление подлежит немедленному исполнению.</w:t>
      </w:r>
    </w:p>
    <w:p>
      <w:pPr>
        <w:widowControl w:val="0"/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Поручить немедленное исполнение данного постановления начальнику </w:t>
      </w:r>
      <w:r>
        <w:rPr>
          <w:rStyle w:val="cat-Addressgrp-8rplc-53"/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 Москворечье-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Сабурово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  </w:t>
      </w:r>
      <w:r>
        <w:rPr>
          <w:rStyle w:val="cat-Addressgrp-3rplc-54"/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  </w:t>
      </w:r>
    </w:p>
    <w:p>
      <w:pPr>
        <w:widowControl w:val="0"/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Поручить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начальнику </w:t>
      </w:r>
      <w:r>
        <w:rPr>
          <w:rStyle w:val="cat-Addressgrp-8rplc-55"/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 Москворечье-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Сабурово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  </w:t>
      </w:r>
      <w:r>
        <w:rPr>
          <w:rStyle w:val="cat-Addressgrp-3rplc-56"/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 немедленное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уведомление об исполнении данного постановления с указанием наименования учреждения, в которое направлен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Рубцов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 И.А.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 для отбытия административного наказания.</w:t>
      </w:r>
    </w:p>
    <w:p>
      <w:pPr>
        <w:widowControl w:val="0"/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На основании ст. 30.1 КоАП РФ постановление может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быть обжаловано в течение 10 дней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в Московский городской суд с момента вручения копии постановления.</w:t>
      </w:r>
    </w:p>
    <w:p>
      <w:pPr>
        <w:spacing w:before="0" w:after="0"/>
        <w:ind w:firstLine="567"/>
        <w:jc w:val="both"/>
        <w:rPr>
          <w:sz w:val="28"/>
          <w:szCs w:val="28"/>
        </w:rPr>
      </w:pP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 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Судья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                                  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            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                             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Л.А.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Крутовская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 </w:t>
      </w:r>
    </w:p>
    <w:sectPr>
      <w:headerReference w:type="default" r:id="rId4"/>
      <w:pgMar w:header="708" w:footer="708"/>
      <w:cols w:space="708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0" w:after="0"/>
      <w:jc w:val="center"/>
      <w:rPr>
        <w:sz w:val="20"/>
        <w:szCs w:val="20"/>
      </w:rPr>
    </w:pPr>
    <w:r>
      <w:rPr>
        <w:sz w:val="20"/>
        <w:szCs w:val="20"/>
      </w:rPr>
      <w:fldChar w:fldCharType="begin"/>
    </w:r>
    <w:r>
      <w:rPr>
        <w:sz w:val="20"/>
        <w:szCs w:val="20"/>
        <w:highlight w:val="none"/>
      </w:rPr>
      <w:instrText>PAGE   \* MERGEFORMAT</w:instrText>
    </w:r>
    <w:r>
      <w:rPr>
        <w:sz w:val="20"/>
        <w:szCs w:val="20"/>
      </w:rPr>
      <w:fldChar w:fldCharType="separate"/>
    </w:r>
    <w:r>
      <w:rPr>
        <w:rFonts w:ascii="Times New Roman" w:eastAsia="Times New Roman" w:hAnsi="Times New Roman" w:cs="Times New Roman"/>
        <w:sz w:val="20"/>
        <w:szCs w:val="20"/>
        <w:highlight w:val="none"/>
      </w:rPr>
      <w:t>1</w:t>
    </w:r>
    <w:r>
      <w:rPr>
        <w:rFonts w:ascii="Times New Roman" w:eastAsia="Times New Roman" w:hAnsi="Times New Roman" w:cs="Times New Roman"/>
        <w:sz w:val="20"/>
        <w:szCs w:val="20"/>
      </w:rPr>
      <w:fldChar w:fldCharType="end"/>
    </w:r>
  </w:p>
  <w:p>
    <w:pPr>
      <w:spacing w:before="0" w:after="0"/>
      <w:rPr>
        <w:sz w:val="20"/>
        <w:szCs w:val="20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isplayBackgroundShape/>
  <w:defaultTabStop w:val="720"/>
  <w:noPunctuationKerning/>
  <w:characterSpacingControl w:val="doNotCompress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character" w:customStyle="1" w:styleId="cat-Addressgrp-0rplc-0">
    <w:name w:val="cat-Address grp-0 rplc-0"/>
    <w:basedOn w:val="DefaultParagraphFont"/>
  </w:style>
  <w:style w:type="character" w:customStyle="1" w:styleId="cat-Addressgrp-1rplc-1">
    <w:name w:val="cat-Address grp-1 rplc-1"/>
    <w:basedOn w:val="DefaultParagraphFont"/>
  </w:style>
  <w:style w:type="character" w:customStyle="1" w:styleId="cat-PassportDatagrp-17rplc-3">
    <w:name w:val="cat-PassportData grp-17 rplc-3"/>
    <w:basedOn w:val="DefaultParagraphFont"/>
  </w:style>
  <w:style w:type="character" w:customStyle="1" w:styleId="cat-Addressgrp-2rplc-4">
    <w:name w:val="cat-Address grp-2 rplc-4"/>
    <w:basedOn w:val="DefaultParagraphFont"/>
  </w:style>
  <w:style w:type="character" w:customStyle="1" w:styleId="cat-Addressgrp-3rplc-5">
    <w:name w:val="cat-Address grp-3 rplc-5"/>
    <w:basedOn w:val="DefaultParagraphFont"/>
  </w:style>
  <w:style w:type="character" w:customStyle="1" w:styleId="cat-Addressgrp-5rplc-7">
    <w:name w:val="cat-Address grp-5 rplc-7"/>
    <w:basedOn w:val="DefaultParagraphFont"/>
  </w:style>
  <w:style w:type="character" w:customStyle="1" w:styleId="cat-Addressgrp-3rplc-8">
    <w:name w:val="cat-Address grp-3 rplc-8"/>
    <w:basedOn w:val="DefaultParagraphFont"/>
  </w:style>
  <w:style w:type="character" w:customStyle="1" w:styleId="cat-Addressgrp-5rplc-9">
    <w:name w:val="cat-Address grp-5 rplc-9"/>
    <w:basedOn w:val="DefaultParagraphFont"/>
  </w:style>
  <w:style w:type="character" w:customStyle="1" w:styleId="cat-Addressgrp-3rplc-10">
    <w:name w:val="cat-Address grp-3 rplc-10"/>
    <w:basedOn w:val="DefaultParagraphFont"/>
  </w:style>
  <w:style w:type="character" w:customStyle="1" w:styleId="cat-Addressgrp-4rplc-11">
    <w:name w:val="cat-Address grp-4 rplc-11"/>
    <w:basedOn w:val="DefaultParagraphFont"/>
  </w:style>
  <w:style w:type="character" w:customStyle="1" w:styleId="cat-FIOgrp-11rplc-12">
    <w:name w:val="cat-FIO grp-11 rplc-12"/>
    <w:basedOn w:val="DefaultParagraphFont"/>
  </w:style>
  <w:style w:type="character" w:customStyle="1" w:styleId="cat-Addressgrp-3rplc-13">
    <w:name w:val="cat-Address grp-3 rplc-13"/>
    <w:basedOn w:val="DefaultParagraphFont"/>
  </w:style>
  <w:style w:type="character" w:customStyle="1" w:styleId="cat-FIOgrp-12rplc-14">
    <w:name w:val="cat-FIO grp-12 rplc-14"/>
    <w:basedOn w:val="DefaultParagraphFont"/>
  </w:style>
  <w:style w:type="character" w:customStyle="1" w:styleId="cat-Addressgrp-5rplc-15">
    <w:name w:val="cat-Address grp-5 rplc-15"/>
    <w:basedOn w:val="DefaultParagraphFont"/>
  </w:style>
  <w:style w:type="character" w:customStyle="1" w:styleId="cat-Addressgrp-3rplc-16">
    <w:name w:val="cat-Address grp-3 rplc-16"/>
    <w:basedOn w:val="DefaultParagraphFont"/>
  </w:style>
  <w:style w:type="character" w:customStyle="1" w:styleId="cat-Addressgrp-5rplc-17">
    <w:name w:val="cat-Address grp-5 rplc-17"/>
    <w:basedOn w:val="DefaultParagraphFont"/>
  </w:style>
  <w:style w:type="character" w:customStyle="1" w:styleId="cat-Addressgrp-3rplc-18">
    <w:name w:val="cat-Address grp-3 rplc-18"/>
    <w:basedOn w:val="DefaultParagraphFont"/>
  </w:style>
  <w:style w:type="character" w:customStyle="1" w:styleId="cat-ExternalSystemDefinedgrp-24rplc-20">
    <w:name w:val="cat-ExternalSystemDefined grp-24 rplc-20"/>
    <w:basedOn w:val="DefaultParagraphFont"/>
  </w:style>
  <w:style w:type="character" w:customStyle="1" w:styleId="cat-PassportDatagrp-18rplc-21">
    <w:name w:val="cat-PassportData grp-18 rplc-21"/>
    <w:basedOn w:val="DefaultParagraphFont"/>
  </w:style>
  <w:style w:type="character" w:customStyle="1" w:styleId="cat-ExternalSystemDefinedgrp-21rplc-22">
    <w:name w:val="cat-ExternalSystemDefined grp-21 rplc-22"/>
    <w:basedOn w:val="DefaultParagraphFont"/>
  </w:style>
  <w:style w:type="character" w:customStyle="1" w:styleId="cat-ExternalSystemDefinedgrp-22rplc-23">
    <w:name w:val="cat-ExternalSystemDefined grp-22 rplc-23"/>
    <w:basedOn w:val="DefaultParagraphFont"/>
  </w:style>
  <w:style w:type="character" w:customStyle="1" w:styleId="cat-ExternalSystemDefinedgrp-23rplc-24">
    <w:name w:val="cat-ExternalSystemDefined grp-23 rplc-24"/>
    <w:basedOn w:val="DefaultParagraphFont"/>
  </w:style>
  <w:style w:type="character" w:customStyle="1" w:styleId="cat-ExternalSystemDefinedgrp-24rplc-26">
    <w:name w:val="cat-ExternalSystemDefined grp-24 rplc-26"/>
    <w:basedOn w:val="DefaultParagraphFont"/>
  </w:style>
  <w:style w:type="character" w:customStyle="1" w:styleId="cat-PassportDatagrp-19rplc-27">
    <w:name w:val="cat-PassportData grp-19 rplc-27"/>
    <w:basedOn w:val="DefaultParagraphFont"/>
  </w:style>
  <w:style w:type="character" w:customStyle="1" w:styleId="cat-Addressgrp-6rplc-28">
    <w:name w:val="cat-Address grp-6 rplc-28"/>
    <w:basedOn w:val="DefaultParagraphFont"/>
  </w:style>
  <w:style w:type="character" w:customStyle="1" w:styleId="cat-Addressgrp-7rplc-30">
    <w:name w:val="cat-Address grp-7 rplc-30"/>
    <w:basedOn w:val="DefaultParagraphFont"/>
  </w:style>
  <w:style w:type="character" w:customStyle="1" w:styleId="cat-FIOgrp-14rplc-31">
    <w:name w:val="cat-FIO grp-14 rplc-31"/>
    <w:basedOn w:val="DefaultParagraphFont"/>
  </w:style>
  <w:style w:type="character" w:customStyle="1" w:styleId="cat-FIOgrp-15rplc-32">
    <w:name w:val="cat-FIO grp-15 rplc-32"/>
    <w:basedOn w:val="DefaultParagraphFont"/>
  </w:style>
  <w:style w:type="character" w:customStyle="1" w:styleId="cat-FIOgrp-15rplc-33">
    <w:name w:val="cat-FIO grp-15 rplc-33"/>
    <w:basedOn w:val="DefaultParagraphFont"/>
  </w:style>
  <w:style w:type="character" w:customStyle="1" w:styleId="cat-FIOgrp-15rplc-34">
    <w:name w:val="cat-FIO grp-15 rplc-34"/>
    <w:basedOn w:val="DefaultParagraphFont"/>
  </w:style>
  <w:style w:type="character" w:customStyle="1" w:styleId="cat-Addressgrp-5rplc-35">
    <w:name w:val="cat-Address grp-5 rplc-35"/>
    <w:basedOn w:val="DefaultParagraphFont"/>
  </w:style>
  <w:style w:type="character" w:customStyle="1" w:styleId="cat-Addressgrp-3rplc-36">
    <w:name w:val="cat-Address grp-3 rplc-36"/>
    <w:basedOn w:val="DefaultParagraphFont"/>
  </w:style>
  <w:style w:type="character" w:customStyle="1" w:styleId="cat-Addressgrp-5rplc-37">
    <w:name w:val="cat-Address grp-5 rplc-37"/>
    <w:basedOn w:val="DefaultParagraphFont"/>
  </w:style>
  <w:style w:type="character" w:customStyle="1" w:styleId="cat-Addressgrp-3rplc-38">
    <w:name w:val="cat-Address grp-3 rplc-38"/>
    <w:basedOn w:val="DefaultParagraphFont"/>
  </w:style>
  <w:style w:type="character" w:customStyle="1" w:styleId="cat-Addressgrp-4rplc-39">
    <w:name w:val="cat-Address grp-4 rplc-39"/>
    <w:basedOn w:val="DefaultParagraphFont"/>
  </w:style>
  <w:style w:type="character" w:customStyle="1" w:styleId="cat-FIOgrp-12rplc-40">
    <w:name w:val="cat-FIO grp-12 rplc-40"/>
    <w:basedOn w:val="DefaultParagraphFont"/>
  </w:style>
  <w:style w:type="character" w:customStyle="1" w:styleId="cat-FIOgrp-11rplc-41">
    <w:name w:val="cat-FIO grp-11 rplc-41"/>
    <w:basedOn w:val="DefaultParagraphFont"/>
  </w:style>
  <w:style w:type="character" w:customStyle="1" w:styleId="cat-Addressgrp-3rplc-42">
    <w:name w:val="cat-Address grp-3 rplc-42"/>
    <w:basedOn w:val="DefaultParagraphFont"/>
  </w:style>
  <w:style w:type="character" w:customStyle="1" w:styleId="cat-FIOgrp-15rplc-43">
    <w:name w:val="cat-FIO grp-15 rplc-43"/>
    <w:basedOn w:val="DefaultParagraphFont"/>
  </w:style>
  <w:style w:type="character" w:customStyle="1" w:styleId="cat-FIOgrp-15rplc-44">
    <w:name w:val="cat-FIO grp-15 rplc-44"/>
    <w:basedOn w:val="DefaultParagraphFont"/>
  </w:style>
  <w:style w:type="character" w:customStyle="1" w:styleId="cat-Addressgrp-6rplc-45">
    <w:name w:val="cat-Address grp-6 rplc-45"/>
    <w:basedOn w:val="DefaultParagraphFont"/>
  </w:style>
  <w:style w:type="character" w:customStyle="1" w:styleId="cat-FIOgrp-15rplc-46">
    <w:name w:val="cat-FIO grp-15 rplc-46"/>
    <w:basedOn w:val="DefaultParagraphFont"/>
  </w:style>
  <w:style w:type="character" w:customStyle="1" w:styleId="cat-FIOgrp-15rplc-47">
    <w:name w:val="cat-FIO grp-15 rplc-47"/>
    <w:basedOn w:val="DefaultParagraphFont"/>
  </w:style>
  <w:style w:type="character" w:customStyle="1" w:styleId="cat-ExternalSystemDefinedgrp-24rplc-50">
    <w:name w:val="cat-ExternalSystemDefined grp-24 rplc-50"/>
    <w:basedOn w:val="DefaultParagraphFont"/>
  </w:style>
  <w:style w:type="character" w:customStyle="1" w:styleId="cat-PassportDatagrp-20rplc-51">
    <w:name w:val="cat-PassportData grp-20 rplc-51"/>
    <w:basedOn w:val="DefaultParagraphFont"/>
  </w:style>
  <w:style w:type="character" w:customStyle="1" w:styleId="cat-Addressgrp-8rplc-53">
    <w:name w:val="cat-Address grp-8 rplc-53"/>
    <w:basedOn w:val="DefaultParagraphFont"/>
  </w:style>
  <w:style w:type="character" w:customStyle="1" w:styleId="cat-Addressgrp-3rplc-54">
    <w:name w:val="cat-Address grp-3 rplc-54"/>
    <w:basedOn w:val="DefaultParagraphFont"/>
  </w:style>
  <w:style w:type="character" w:customStyle="1" w:styleId="cat-Addressgrp-8rplc-55">
    <w:name w:val="cat-Address grp-8 rplc-55"/>
    <w:basedOn w:val="DefaultParagraphFont"/>
  </w:style>
  <w:style w:type="character" w:customStyle="1" w:styleId="cat-Addressgrp-3rplc-56">
    <w:name w:val="cat-Address grp-3 rplc-56"/>
    <w:basedOn w:val="DefaultParagraphFont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