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Default ContentType="image/jpeg" Extension="jpeg"/>
  <Default ContentType="image/jpeg" Extension="jpg"/>
  <Default ContentType="image/png" Extension="png"/>
  <Default ContentType="image/gif" Extension="gif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</Types>
</file>

<file path=_rels/.rels><?xml version="1.0"?>
<Relationships xmlns="http://schemas.openxmlformats.org/package/2006/relationships">
	<Relationship Id="rId1" Target="word/document.xml" Type="http://schemas.openxmlformats.org/officeDocument/2006/relationships/officeDocument"/>
</Relationships>

</file>

<file path=word/document.xml><?xml version="1.0" encoding="utf-8"?>
<w:document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>
      <w:pPr/>
      <w:r>
        <w:rPr>
          <w:noProof/>
        </w:rPr>
        <w:drawing>
          <wp:inline>
            <wp:extent cx="3191868" cy="5047487"/>
            <wp:docPr id="0" name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imgE99FC19B-1206-4C6B-BE09-BC233E0B8E2B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1868" cy="504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rPr/>
        <w:t xml:space="preserve">Schrems II</w:t>
        <w:br/>
        <w:t xml:space="preserve">C-311/18 CJEU</w:t>
      </w:r>
    </w:p>
    <w:p>
      <w:pPr/>
    </w:p>
    <w:p>
      <w:pPr/>
      <w:r>
        <w:rPr/>
        <w:t xml:space="preserve"/>
      </w:r>
    </w:p>
    <w:tbl>
      <w:tblPr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6977"/>
        <w:gridCol w:w="6977"/>
      </w:tblGrid>
      <w:tr>
        <w:tc>
          <w:tcPr>
            <w:tcW w:type="dxa" w:w="6977"/>
            <w:vAlign w:val="center"/>
            <w:vMerge w:val="restart"/>
          </w:tcPr>
          <w:p>
            <w:pPr/>
            <w:r>
              <w:rPr/>
              <w:t xml:space="preserve">The decision</w:t>
            </w:r>
          </w:p>
        </w:tc>
        <w:tc>
          <w:tcPr>
            <w:tcW w:type="dxa" w:w="6977"/>
            <w:vAlign w:val="center"/>
            <w:vMerge w:val="restart"/>
          </w:tcPr>
          <w:p>
            <w:pPr/>
            <w:r>
              <w:rPr/>
              <w:t xml:space="preserve">Europeans can transfer eu datas to third countries based on SCC only if protection is effective</w:t>
            </w:r>
          </w:p>
        </w:tc>
      </w:tr>
      <w:tr>
        <w:tc>
          <w:tcPr>
            <w:tcW w:type="dxa" w:w="6977"/>
            <w:vAlign w:val="center"/>
            <w:vMerge/>
          </w:tcPr>
          <w:p/>
        </w:tc>
        <w:tc>
          <w:tcPr>
            <w:tcW w:type="dxa" w:w="6977"/>
            <w:vAlign w:val="center"/>
            <w:vMerge w:val="restart"/>
          </w:tcPr>
          <w:p>
            <w:pPr/>
            <w:r>
              <w:rPr/>
              <w:t xml:space="preserve">Scc are Standard Contract Clauses</w:t>
            </w:r>
          </w:p>
        </w:tc>
      </w:tr>
      <w:tr>
        <w:tc>
          <w:tcPr>
            <w:tcW w:type="dxa" w:w="6977"/>
            <w:vAlign w:val="center"/>
            <w:vMerge/>
          </w:tcPr>
          <w:p/>
        </w:tc>
        <w:tc>
          <w:tcPr>
            <w:tcW w:type="dxa" w:w="6977"/>
            <w:vAlign w:val="center"/>
            <w:vMerge w:val="restart"/>
          </w:tcPr>
          <w:p>
            <w:pPr/>
            <w:r>
              <w:rPr/>
              <w:t xml:space="preserve">Protection in US is not effective</w:t>
            </w:r>
          </w:p>
        </w:tc>
      </w:tr>
      <w:tr>
        <w:tc>
          <w:tcPr>
            <w:tcW w:type="dxa" w:w="6977"/>
            <w:vAlign w:val="center"/>
            <w:vMerge/>
          </w:tcPr>
          <w:p/>
        </w:tc>
        <w:tc>
          <w:tcPr>
            <w:tcW w:type="dxa" w:w="6977"/>
            <w:vAlign w:val="center"/>
            <w:vMerge w:val="restart"/>
          </w:tcPr>
          <w:p>
            <w:pPr/>
            <w:r>
              <w:rPr/>
              <w:t xml:space="preserve">Europeans muste terminate transferring of datas to US inf Europeans can't assure equal protection as with Euroepan suppliers</w:t>
            </w:r>
          </w:p>
        </w:tc>
      </w:tr>
      <w:tr>
        <w:tc>
          <w:tcPr>
            <w:tcW w:type="dxa" w:w="6977"/>
            <w:vAlign w:val="center"/>
            <w:vMerge w:val="restart"/>
          </w:tcPr>
          <w:p>
            <w:pPr/>
            <w:r>
              <w:rPr/>
              <w:t xml:space="preserve">Effects</w:t>
            </w:r>
          </w:p>
        </w:tc>
        <w:tc>
          <w:tcPr>
            <w:tcW w:type="dxa" w:w="6977"/>
            <w:vAlign w:val="center"/>
            <w:vMerge w:val="restart"/>
          </w:tcPr>
          <w:p>
            <w:pPr/>
            <w:r>
              <w:rPr/>
              <w:t xml:space="preserve">US becomes as UK after brexit: it must compliance to standard high criterias. Perhaps Us is not a safe place as Uk, with a different legislation.</w:t>
            </w:r>
          </w:p>
        </w:tc>
      </w:tr>
      <w:tr>
        <w:tc>
          <w:tcPr>
            <w:tcW w:type="dxa" w:w="6977"/>
            <w:vAlign w:val="center"/>
            <w:vMerge/>
          </w:tcPr>
          <w:p/>
        </w:tc>
        <w:tc>
          <w:tcPr>
            <w:tcW w:type="dxa" w:w="6977"/>
            <w:vAlign w:val="center"/>
            <w:vMerge w:val="restart"/>
          </w:tcPr>
          <w:p>
            <w:pPr/>
            <w:r>
              <w:rPr/>
              <w:t xml:space="preserve">There are not other legitimates simplified tools to transfer datas from EU to US.</w:t>
            </w:r>
          </w:p>
        </w:tc>
      </w:tr>
      <w:tr>
        <w:tc>
          <w:tcPr>
            <w:tcW w:type="dxa" w:w="6977"/>
            <w:vAlign w:val="center"/>
            <w:vMerge/>
          </w:tcPr>
          <w:p/>
        </w:tc>
        <w:tc>
          <w:tcPr>
            <w:tcW w:type="dxa" w:w="6977"/>
            <w:vAlign w:val="center"/>
            <w:vMerge w:val="restart"/>
          </w:tcPr>
          <w:p>
            <w:pPr/>
            <w:r>
              <w:rPr/>
              <w:t xml:space="preserve">There is not grace period</w:t>
            </w:r>
          </w:p>
        </w:tc>
      </w:tr>
      <w:tr>
        <w:tc>
          <w:tcPr>
            <w:tcW w:type="dxa" w:w="6977"/>
            <w:vAlign w:val="center"/>
            <w:vMerge/>
          </w:tcPr>
          <w:p/>
        </w:tc>
        <w:tc>
          <w:tcPr>
            <w:tcW w:type="dxa" w:w="6977"/>
            <w:vAlign w:val="center"/>
            <w:vMerge w:val="restart"/>
          </w:tcPr>
          <w:p>
            <w:pPr/>
            <w:r>
              <w:rPr/>
              <w:t xml:space="preserve">Now the decision about transferring EU datas in US is taken every time by each european, and must be documented</w:t>
            </w:r>
          </w:p>
        </w:tc>
      </w:tr>
      <w:tr>
        <w:tc>
          <w:tcPr>
            <w:tcW w:type="dxa" w:w="6977"/>
            <w:vAlign w:val="center"/>
            <w:vMerge w:val="restart"/>
          </w:tcPr>
          <w:p>
            <w:pPr/>
            <w:r>
              <w:rPr/>
              <w:t xml:space="preserve">Can US entities</w:t>
              <w:br/>
              <w:t xml:space="preserve">help Europeans ?</w:t>
            </w:r>
          </w:p>
        </w:tc>
        <w:tc>
          <w:tcPr>
            <w:tcW w:type="dxa" w:w="6977"/>
            <w:vAlign w:val="center"/>
            <w:vMerge w:val="restart"/>
          </w:tcPr>
          <w:p>
            <w:pPr/>
            <w:r>
              <w:rPr/>
              <w:t xml:space="preserve">No US entity can simply declare: "I comply to GDPR", they have to prove it (ex: cloud servers in EU and not submitted to US Cloud Act)</w:t>
            </w:r>
          </w:p>
        </w:tc>
      </w:tr>
      <w:tr>
        <w:tc>
          <w:tcPr>
            <w:tcW w:type="dxa" w:w="6977"/>
            <w:vAlign w:val="center"/>
            <w:vMerge/>
          </w:tcPr>
          <w:p/>
        </w:tc>
        <w:tc>
          <w:tcPr>
            <w:tcW w:type="dxa" w:w="6977"/>
            <w:vAlign w:val="center"/>
            <w:vMerge w:val="restart"/>
          </w:tcPr>
          <w:p>
            <w:pPr/>
            <w:r>
              <w:rPr/>
              <w:t xml:space="preserve">US entities can use other simplified tools ? No, US must in facts give equivalent protection as an European supplier.</w:t>
            </w:r>
          </w:p>
        </w:tc>
      </w:tr>
      <w:tr>
        <w:tc>
          <w:tcPr>
            <w:tcW w:type="dxa" w:w="6977"/>
            <w:vAlign w:val="center"/>
            <w:vMerge w:val="restart"/>
          </w:tcPr>
          <w:p>
            <w:pPr/>
            <w:r>
              <w:rPr/>
              <w:t xml:space="preserve">Are there other options ?</w:t>
            </w:r>
          </w:p>
        </w:tc>
        <w:tc>
          <w:tcPr>
            <w:tcW w:type="dxa" w:w="6977"/>
            <w:vAlign w:val="center"/>
            <w:vMerge w:val="restart"/>
          </w:tcPr>
          <w:p>
            <w:pPr/>
            <w:r>
              <w:rPr/>
              <w:t xml:space="preserve">Yes, but EU authorities must adopt only if there is  a public interest</w:t>
            </w:r>
          </w:p>
        </w:tc>
      </w:tr>
      <w:tr>
        <w:tc>
          <w:tcPr>
            <w:tcW w:type="dxa" w:w="6977"/>
            <w:vAlign w:val="center"/>
            <w:vMerge w:val="restart"/>
          </w:tcPr>
          <w:p>
            <w:pPr/>
            <w:r>
              <w:rPr/>
              <w:t xml:space="preserve">What if ...</w:t>
            </w:r>
          </w:p>
        </w:tc>
        <w:tc>
          <w:tcPr>
            <w:tcW w:type="dxa" w:w="6977"/>
            <w:vAlign w:val="center"/>
            <w:vMerge w:val="restart"/>
          </w:tcPr>
          <w:p>
            <w:pPr/>
            <w:r>
              <w:rPr/>
              <w:t xml:space="preserve">... it happens a data breach on a US supplier: only the European  entity is fully liable if it not adopted measure (ex. Internale and european only cryptography on a US cloud service)</w:t>
            </w:r>
          </w:p>
        </w:tc>
      </w:tr>
      <w:tr>
        <w:tc>
          <w:tcPr>
            <w:tcW w:type="dxa" w:w="6977"/>
            <w:vAlign w:val="center"/>
            <w:vMerge w:val="restart"/>
          </w:tcPr>
          <w:p>
            <w:pPr/>
            <w:r>
              <w:rPr/>
              <w:t xml:space="preserve">What must do Europeans ?</w:t>
            </w:r>
          </w:p>
        </w:tc>
        <w:tc>
          <w:tcPr>
            <w:tcW w:type="dxa" w:w="6977"/>
            <w:vAlign w:val="center"/>
            <w:vMerge w:val="restart"/>
          </w:tcPr>
          <w:p>
            <w:pPr/>
            <w:r>
              <w:rPr/>
              <w:t xml:space="preserve">Check if contracts give effective protection</w:t>
            </w:r>
          </w:p>
        </w:tc>
      </w:tr>
      <w:tr>
        <w:tc>
          <w:tcPr>
            <w:tcW w:type="dxa" w:w="6977"/>
            <w:vAlign w:val="center"/>
            <w:vMerge/>
          </w:tcPr>
          <w:p/>
        </w:tc>
        <w:tc>
          <w:tcPr>
            <w:tcW w:type="dxa" w:w="6977"/>
            <w:vAlign w:val="center"/>
            <w:vMerge w:val="restart"/>
          </w:tcPr>
          <w:p>
            <w:pPr/>
            <w:r>
              <w:rPr/>
              <w:t xml:space="preserve">Implement other security tools indipendently from US suppliers</w:t>
            </w:r>
          </w:p>
        </w:tc>
      </w:tr>
      <w:tr>
        <w:tc>
          <w:tcPr>
            <w:tcW w:type="dxa" w:w="6977"/>
            <w:vAlign w:val="center"/>
            <w:vMerge/>
          </w:tcPr>
          <w:p/>
        </w:tc>
        <w:tc>
          <w:tcPr>
            <w:tcW w:type="dxa" w:w="6977"/>
            <w:vAlign w:val="center"/>
            <w:vMerge w:val="restart"/>
          </w:tcPr>
          <w:p>
            <w:pPr/>
            <w:r>
              <w:rPr/>
              <w:t xml:space="preserve">Fold documents on the US suppliers</w:t>
            </w:r>
          </w:p>
        </w:tc>
      </w:tr>
      <w:tr>
        <w:tc>
          <w:tcPr>
            <w:tcW w:type="dxa" w:w="6977"/>
            <w:vAlign w:val="center"/>
            <w:vMerge/>
          </w:tcPr>
          <w:p/>
        </w:tc>
        <w:tc>
          <w:tcPr>
            <w:tcW w:type="dxa" w:w="6977"/>
            <w:vAlign w:val="center"/>
            <w:vMerge w:val="restart"/>
          </w:tcPr>
          <w:p>
            <w:pPr/>
            <w:r>
              <w:rPr/>
              <w:t xml:space="preserve">Must inform data subjects and let limit processings.</w:t>
            </w:r>
          </w:p>
        </w:tc>
      </w:tr>
      <w:tr>
        <w:tc>
          <w:tcPr>
            <w:tcW w:type="dxa" w:w="6977"/>
            <w:vAlign w:val="center"/>
            <w:vMerge/>
          </w:tcPr>
          <w:p/>
        </w:tc>
        <w:tc>
          <w:tcPr>
            <w:tcW w:type="dxa" w:w="6977"/>
            <w:vAlign w:val="center"/>
            <w:vMerge w:val="restart"/>
          </w:tcPr>
          <w:p>
            <w:pPr/>
            <w:r>
              <w:rPr/>
              <w:t xml:space="preserve">List all suppliers by country, bases of processings, duration of processing, nature of processings, categories of datas.</w:t>
            </w:r>
          </w:p>
        </w:tc>
      </w:tr>
      <w:tr>
        <w:tc>
          <w:tcPr>
            <w:tcW w:type="dxa" w:w="6977"/>
            <w:gridSpan w:val="2"/>
            <w:vAlign w:val="center"/>
            <w:vMerge w:val="restart"/>
          </w:tcPr>
          <w:p>
            <w:pPr/>
            <w:r>
              <w:rPr/>
              <w:t xml:space="preserve">@2020 Cc nc sa</w:t>
              <w:br/>
              <w:t xml:space="preserve">Spataro</w:t>
              <w:br/>
              <w:t xml:space="preserve"/>
              <w:br/>
              <w:t xml:space="preserve">legaldesign.it</w:t>
              <w:br/>
              <w:t xml:space="preserve">Privacykit.it</w:t>
              <w:br/>
              <w:t xml:space="preserve">Also on github</w:t>
            </w:r>
          </w:p>
        </w:tc>
      </w:tr>
    </w:tbl>
    <w:sectPr>
      <w:pgSz w:h="11910" w:w="16835"/>
      <w:pgMar w:left="720" w:right="720" w:top="720" w:bottom="720" w:footer="720" w:gutter="0" w:header="72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1">
    <w:nsid w:val="1"/>
    <w:multiLevelType w:val="hybridMultilevel"/>
    <w:tmpl w:val="D6A4DDC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hanging="360" w:left="21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5" w:tentative="1" w:tplc="04090005">
      <w:start w:val="1"/>
      <w:numFmt w:val="bullet"/>
      <w:lvlText w:val=""/>
      <w:lvlJc w:val="left"/>
      <w:pPr>
        <w:ind w:hanging="360" w:left="4320"/>
      </w:pPr>
      <w:rPr>
        <w:rFonts w:ascii="Symbol" w:hAnsi="Symbol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8" w:tentative="1" w:tplc="04090005">
      <w:start w:val="1"/>
      <w:numFmt w:val="bullet"/>
      <w:lvlText w:val=""/>
      <w:lvlJc w:val="left"/>
      <w:pPr>
        <w:ind w:hanging="360" w:left="6480"/>
      </w:pPr>
      <w:rPr>
        <w:rFonts w:ascii="Symbol" w:hAnsi="Symbol" w:hint="default"/>
      </w:rPr>
    </w:lvl>
  </w:abstractNum>
  <w:abstractNum w:abstractNumId="2">
    <w:nsid w:val="2"/>
    <w:multiLevelType w:val="hybridMultilevel"/>
    <w:tmpl w:val="1B4CAF0E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plc="0409000F">
      <w:start w:val="1"/>
      <w:numFmt w:val="decimal"/>
      <w:lvlText w:val="%2."/>
      <w:lvlJc w:val="left"/>
      <w:pPr>
        <w:ind w:hanging="360" w:left="1440"/>
      </w:pPr>
    </w:lvl>
    <w:lvl w:ilvl="2" w:tplc="0409000F">
      <w:start w:val="1"/>
      <w:numFmt w:val="decimal"/>
      <w:lvlText w:val="%3."/>
      <w:lvlJc w:val="left"/>
      <w:pPr>
        <w:ind w:hanging="360" w:left="2340"/>
      </w:pPr>
    </w:lvl>
    <w:lvl w:ilvl="3" w:tplc="0409000F">
      <w:start w:val="1"/>
      <w:numFmt w:val="decimal"/>
      <w:lvlText w:val="%4."/>
      <w:lvlJc w:val="left"/>
      <w:pPr>
        <w:ind w:hanging="360" w:left="2880"/>
      </w:pPr>
    </w:lvl>
    <w:lvl w:ilvl="4" w:tplc="0409000F">
      <w:start w:val="1"/>
      <w:numFmt w:val="decimal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!--REPLACE1-->
  <w:num w:numId="1">
    <w:abstractNumId w:val="1"/>
  </w:num>
  <w:num w:numId="2">
    <w:abstractNumId w:val="2"/>
  </w:num>
  <!--REPLACE2--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612"/>
    <w:rsid w:val="00102DA7"/>
    <w:rsid w:val="002C1465"/>
    <w:rsid w:val="00445D80"/>
    <w:rsid w:val="00E7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0467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6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6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61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361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5D8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45D8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45D8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45D8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45D8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6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3612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7361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36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7361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6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36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736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6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612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73612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445D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45D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45D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45D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45D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6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6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61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361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5D8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45D8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45D8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45D8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45D8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6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3612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7361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36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7361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6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36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736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6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612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73612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445D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45D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45D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45D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45D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oogle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imgE99FC19B-1206-4C6B-BE09-BC233E0B8E2B" Target="media/imgE99FC19B-1206-4C6B-BE09-BC233E0B8E2B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app-templates/numbering.xml>	<w:abstractNum w:abstractNumId="$id">
		<w:nsid w:val="$id"/>
		<w:multiLevelType w:val="hybridMultilevel"/>
		<w:tmpl w:val="1B4CAF0E"/>
		<w:lvl w:ilvl="0" w:tplc="0409000F">
			<w:start w:val="1"/>
			<w:numFmt w:val="decimal"/>
			<w:lvlText w:val="%1."/>
			<w:lvlJc w:val="left"/>
			<w:pPr>
				<w:ind w:hanging="360" w:left="720"/>
			</w:pPr>
		</w:lvl>
		<w:lvl w:ilvl="1" w:tplc="0409000F">
			<w:start w:val="1"/>
			<w:numFmt w:val="decimal"/>
			<w:lvlText w:val="%2."/>
			<w:lvlJc w:val="left"/>
			<w:pPr>
				<w:ind w:hanging="360" w:left="1440"/>
			</w:pPr>
		</w:lvl>
		<w:lvl w:ilvl="2" w:tplc="0409000F">
			<w:start w:val="1"/>
			<w:numFmt w:val="decimal"/>
			<w:lvlText w:val="%3."/>
			<w:lvlJc w:val="left"/>
			<w:pPr>
				<w:ind w:hanging="360" w:left="2340"/>
			</w:pPr>
		</w:lvl>
		<w:lvl w:ilvl="3" w:tplc="0409000F">
			<w:start w:val="1"/>
			<w:numFmt w:val="decimal"/>
			<w:lvlText w:val="%4."/>
			<w:lvlJc w:val="left"/>
			<w:pPr>
				<w:ind w:hanging="360" w:left="2880"/>
			</w:pPr>
		</w:lvl>
		<w:lvl w:ilvl="4" w:tplc="0409000F">
			<w:start w:val="1"/>
			<w:numFmt w:val="decimal"/>
			<w:lvlText w:val="%5."/>
			<w:lvlJc w:val="left"/>
			<w:pPr>
				<w:ind w:hanging="360" w:left="3600"/>
			</w:pPr>
		</w:lvl>
		<w:lvl w:ilvl="5" w:tentative="1" w:tplc="0409001B">
			<w:start w:val="1"/>
			<w:numFmt w:val="lowerRoman"/>
			<w:lvlText w:val="%6."/>
			<w:lvlJc w:val="right"/>
			<w:pPr>
				<w:ind w:hanging="180" w:left="4320"/>
			</w:pPr>
		</w:lvl>
		<w:lvl w:ilvl="6" w:tentative="1" w:tplc="0409000F">
			<w:start w:val="1"/>
			<w:numFmt w:val="decimal"/>
			<w:lvlText w:val="%7."/>
			<w:lvlJc w:val="left"/>
			<w:pPr>
				<w:ind w:hanging="360" w:left="5040"/>
			</w:pPr>
		</w:lvl>
		<w:lvl w:ilvl="7" w:tentative="1" w:tplc="04090019">
			<w:start w:val="1"/>
			<w:numFmt w:val="lowerLetter"/>
			<w:lvlText w:val="%8."/>
			<w:lvlJc w:val="left"/>
			<w:pPr>
				<w:ind w:hanging="360" w:left="5760"/>
			</w:pPr>
		</w:lvl>
		<w:lvl w:ilvl="8" w:tentative="1" w:tplc="0409001B">
			<w:start w:val="1"/>
			<w:numFmt w:val="lowerRoman"/>
			<w:lvlText w:val="%9."/>
			<w:lvlJc w:val="right"/>
			<w:pPr>
				<w:ind w:hanging="180" w:left="6480"/>
			</w:pPr>
		</w:lvl>
	</w:abstractNum>

</file>