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F1F80" w14:textId="77777777" w:rsidR="00264CFB" w:rsidRDefault="00923798">
      <w:pPr>
        <w:pStyle w:val="Titre1"/>
        <w:jc w:val="both"/>
        <w:rPr>
          <w:rFonts w:eastAsia="Times New Roman"/>
          <w:lang w:eastAsia="fr-FR"/>
        </w:rPr>
      </w:pPr>
      <w:bookmarkStart w:id="0" w:name="_GoBack"/>
      <w:r>
        <w:rPr>
          <w:rStyle w:val="docdata"/>
          <w:color w:val="2E77B5"/>
        </w:rPr>
        <w:t>Apport</w:t>
      </w:r>
      <w:r>
        <w:rPr>
          <w:color w:val="2E77B5"/>
        </w:rPr>
        <w:t xml:space="preserve"> des réseaux de neurones convolutionnels basés graphes (graph-convolutional neural networks) pour l’analyse de données multi-omiques et multi-modales de population</w:t>
      </w:r>
      <w:bookmarkEnd w:id="0"/>
      <w:r>
        <w:rPr>
          <w:rFonts w:eastAsia="Times New Roman"/>
          <w:lang w:eastAsia="fr-FR"/>
        </w:rPr>
        <w:t>.</w:t>
      </w:r>
    </w:p>
    <w:p w14:paraId="0F683B9B" w14:textId="77777777" w:rsidR="00264CFB" w:rsidRDefault="00923798">
      <w:pPr>
        <w:pStyle w:val="Titre2"/>
        <w:jc w:val="both"/>
      </w:pPr>
      <w:r>
        <w:t>Mots clés</w:t>
      </w:r>
    </w:p>
    <w:p w14:paraId="2CC37570" w14:textId="77777777" w:rsidR="00264CFB" w:rsidRPr="00F816B0" w:rsidRDefault="00923798">
      <w:pPr>
        <w:jc w:val="both"/>
      </w:pPr>
      <w:r w:rsidRPr="00F816B0">
        <w:t>Réseaux de neurones convolutionnels, graphes, neuro-imagerie, multi-omique, études de population.</w:t>
      </w:r>
    </w:p>
    <w:p w14:paraId="7939263C" w14:textId="77777777" w:rsidR="00264CFB" w:rsidRDefault="00923798">
      <w:pPr>
        <w:pStyle w:val="Titre2"/>
        <w:jc w:val="both"/>
      </w:pPr>
      <w:r>
        <w:t>Profil et compétences recherchées</w:t>
      </w:r>
    </w:p>
    <w:p w14:paraId="207CB633" w14:textId="77777777" w:rsidR="00264CFB" w:rsidRDefault="00923798">
      <w:pPr>
        <w:jc w:val="both"/>
        <w:rPr>
          <w:lang w:eastAsia="fr-FR"/>
        </w:rPr>
      </w:pPr>
      <w:r>
        <w:rPr>
          <w:lang w:eastAsia="fr-FR"/>
        </w:rPr>
        <w:t>Expertise en machine learning et intelligence artificielle.</w:t>
      </w:r>
    </w:p>
    <w:p w14:paraId="6B66734E" w14:textId="77777777" w:rsidR="00264CFB" w:rsidRDefault="00923798">
      <w:pPr>
        <w:pStyle w:val="Titre2"/>
        <w:jc w:val="both"/>
      </w:pPr>
      <w:r>
        <w:t>Présentation détaillée du projet doctoral</w:t>
      </w:r>
    </w:p>
    <w:p w14:paraId="54625AB1" w14:textId="77777777" w:rsidR="00264CFB" w:rsidRDefault="00923798">
      <w:pPr>
        <w:pStyle w:val="Titre3"/>
        <w:jc w:val="both"/>
      </w:pPr>
      <w:r>
        <w:rPr>
          <w:rFonts w:eastAsia="Times New Roman"/>
        </w:rPr>
        <w:t>Résumé :</w:t>
      </w:r>
    </w:p>
    <w:p w14:paraId="5C3E0CBE" w14:textId="77777777" w:rsidR="00264CFB" w:rsidRDefault="00923798">
      <w:pPr>
        <w:jc w:val="both"/>
      </w:pPr>
      <w:r>
        <w:t>Ces dernières années, des efforts internationaux ont permis la constitution de grandes cohortes d’imagerie cérébrale de population générale, qui comportent de plus en plus souvent des données génomiques. A NeuroSpin, des travaux de recherche en neurosciences sont menés par exemple sur UK-Biobank (500.000 sujets) qui est à ce jour la cohorte internationale la plus fournie en population générale. Des travaux d’intérêt clinique sont aussi menés sur des cohortes plus thématiques avec entre autres IMAGEN (2,000 sujets, trois visites) pour les comportements à risques chez les adolescents, ou MEMENTO (2,500 sujets) pour la maladie d’Alzheimer.</w:t>
      </w:r>
    </w:p>
    <w:p w14:paraId="537BCA10" w14:textId="5C5A9BC7" w:rsidR="00264CFB" w:rsidRDefault="00923798">
      <w:pPr>
        <w:jc w:val="both"/>
      </w:pPr>
      <w:r>
        <w:t>L'exploration de ces données multi-omiques et d’imagerie multi-modales visent à trouver des marqueurs diagnostiques et pronostiques originaux.  Ces études sont réalisées au moyen de diverses analyses multivariées utilisant les outils du machine learning. Ces études tendent de plus en plus à fusionner les multiples sources d’information dont certaines se représentent naturellement sous forme de graphes. Par ailleurs ces études nécessitent d’intégrer des informations de référence (connaissances académiques ou mesures sur biopsie de issus) qui à nouveau sont décrites sous forme de graphes.</w:t>
      </w:r>
    </w:p>
    <w:p w14:paraId="4F039703" w14:textId="77777777" w:rsidR="00264CFB" w:rsidRDefault="00923798">
      <w:pPr>
        <w:jc w:val="both"/>
      </w:pPr>
      <w:r>
        <w:t>Nous proposons un travail d’adaptation et de mise en œuvre des réseaux de neurones convolutionels basés sur des graphes (GraNN) pour réaliser des analyses dans des cohortes de population. Cette classe de réseaux neuronaux du domaine de l’apprentissage profond est à même de réaliser les objectifs de fusion et d’intégration de l’information lorsque celle-ci se présente sous forme de graphes. Le formalisme des GraNN est bien adapté à la représentation de très nombreuses mesures biologiques et médicales et ce travail devrait fournir des résultats novateurs en termes de méthodes ou de phénotypes. Enfin, comme les couches de sortie des GraNN ou les variables latentes qu’ils permettent d’extraire se présentent sous forme de graphes, ce travail offrira aussi des perspectives nouvelles d’interprétation des résultats.</w:t>
      </w:r>
    </w:p>
    <w:p w14:paraId="57C527B4" w14:textId="77777777" w:rsidR="00264CFB" w:rsidRDefault="00923798">
      <w:pPr>
        <w:pStyle w:val="Titre3"/>
        <w:rPr>
          <w:lang w:val="en-US"/>
        </w:rPr>
      </w:pPr>
      <w:r>
        <w:rPr>
          <w:lang w:val="en-US"/>
        </w:rPr>
        <w:t>Summary :</w:t>
      </w:r>
    </w:p>
    <w:p w14:paraId="41910785" w14:textId="77777777" w:rsidR="00264CFB" w:rsidRDefault="00923798">
      <w:pPr>
        <w:jc w:val="both"/>
        <w:rPr>
          <w:lang w:val="en-US"/>
        </w:rPr>
      </w:pPr>
      <w:r>
        <w:rPr>
          <w:lang w:val="en-US"/>
        </w:rPr>
        <w:t xml:space="preserve">Recently, international initiatives have led to the building of large cohorts in general population of brain imaging studies. Most of them now include genomic data. At NeuroSpin, research in neurociences is being carried out on the UK-Biobank (500,000 subjects), which is to date the largest international cohort in the general population. Research of clinical interest is also being conducted </w:t>
      </w:r>
      <w:r>
        <w:rPr>
          <w:lang w:val="en-US"/>
        </w:rPr>
        <w:lastRenderedPageBreak/>
        <w:t>based on more thematic cohorts with, among others, IMAGEN (2,000 subjects, three visits) for risk behaviors in adolescents or MEMENTO (2,500 subjects) for Alzheimer’s disease.</w:t>
      </w:r>
    </w:p>
    <w:p w14:paraId="73DA5F11" w14:textId="0E413D0A" w:rsidR="00264CFB" w:rsidRDefault="00923798">
      <w:pPr>
        <w:jc w:val="both"/>
        <w:rPr>
          <w:lang w:val="en-US"/>
        </w:rPr>
      </w:pPr>
      <w:r>
        <w:rPr>
          <w:lang w:val="en-US"/>
        </w:rPr>
        <w:t>Data mining of these multi-omic and multi-modal imaging data aim to find original diagnostic and prognostic markers.  These studies are carried out by  various multivariate analyses using learning machine tools. The latter increasingly tend to merge multiple sources of information, some of which are naturally represented in the form of graphs. In addition, these studies require the integration of reference information (academic knowledge or measurements in biopsies) which again, are described in the form of graphs.</w:t>
      </w:r>
    </w:p>
    <w:p w14:paraId="20C8CB7F" w14:textId="67754235" w:rsidR="00264CFB" w:rsidRDefault="00923798" w:rsidP="00F74F4F">
      <w:pPr>
        <w:jc w:val="both"/>
        <w:rPr>
          <w:rFonts w:eastAsia="Times New Roman"/>
          <w:lang w:val="en-US"/>
        </w:rPr>
      </w:pPr>
      <w:r>
        <w:rPr>
          <w:lang w:val="en-US"/>
        </w:rPr>
        <w:t>We propose a work to adapt and implement graph-based convolutional neural networks (GraNN) to carry out novel analyses in population cohorts. This class of neural networks of the deep learning domain is able to achieve the objectives of information fusion and information integration when this information is represented by a graph. The graphical formalism of GraNNs is well adapted to the representation of very numerous measurements of biological or medical phenomena, and this work should provide innovative results in terms of methods or phenotypes. Finally, since GraNNs provide graphical objects as output layers or latent variables, this work also should also offer new perspectives for the interpretation of the results.</w:t>
      </w:r>
    </w:p>
    <w:p w14:paraId="523377EA" w14:textId="77777777" w:rsidR="00264CFB" w:rsidRPr="00210C7F" w:rsidRDefault="00923798">
      <w:pPr>
        <w:pStyle w:val="Titre3"/>
        <w:jc w:val="both"/>
        <w:rPr>
          <w:rFonts w:eastAsia="Times New Roman"/>
        </w:rPr>
      </w:pPr>
      <w:r w:rsidRPr="00210C7F">
        <w:rPr>
          <w:rFonts w:eastAsia="Times New Roman"/>
        </w:rPr>
        <w:t>Thématiques Domaine Contexte</w:t>
      </w:r>
    </w:p>
    <w:p w14:paraId="1B8C2F5E" w14:textId="77777777" w:rsidR="00264CFB" w:rsidRDefault="00923798">
      <w:r>
        <w:rPr>
          <w:rStyle w:val="docdata"/>
          <w:color w:val="000000"/>
        </w:rPr>
        <w:t>Machine learning</w:t>
      </w:r>
      <w:r>
        <w:rPr>
          <w:color w:val="000000"/>
        </w:rPr>
        <w:t>, Intelligence artificielle, Contraintes structurelles sous forme de graphes, Données multi-omiques et multi-modales en neuro-imagerie, Imagerie génétique, Application en oncologie et maladies psychiatriques.</w:t>
      </w:r>
    </w:p>
    <w:p w14:paraId="6C01D714" w14:textId="77777777" w:rsidR="00264CFB" w:rsidRDefault="00923798">
      <w:pPr>
        <w:pStyle w:val="Titre2"/>
        <w:jc w:val="both"/>
      </w:pPr>
      <w:r>
        <w:t>Contexte et objectifs</w:t>
      </w:r>
    </w:p>
    <w:p w14:paraId="1DA5015F" w14:textId="77777777" w:rsidR="00264CFB" w:rsidRDefault="00923798">
      <w:pPr>
        <w:jc w:val="both"/>
        <w:rPr>
          <w:b/>
        </w:rPr>
      </w:pPr>
      <w:r>
        <w:rPr>
          <w:b/>
        </w:rPr>
        <w:t>Contexte : imagerie cérébrale et études de population.</w:t>
      </w:r>
    </w:p>
    <w:p w14:paraId="5E324A97" w14:textId="62F64F28" w:rsidR="00264CFB" w:rsidRDefault="00923798">
      <w:pPr>
        <w:jc w:val="both"/>
      </w:pPr>
      <w:r>
        <w:t>L’imagerie cérébrale fournit des marqueurs in-vivo uniques pour diagnostiquer et étudier des pathologies neurologiques (comme les maladies neurodégénratives: sclérose en plaques,  Parkinson, Alzheimer) ou des syndromes psychiatriques (comme l’autisme ou la schizophrénie). Plus précisément, l’imagerie cérébrale contribue à différents axes de recherche sur ces maladies, à savoir : 1) la détection précoce de la maladie et une prise en charge adaptée du patient ou de son entourage, 2) la mise au point de biomarqueurs prédictifs et/ou pronostics et 3) la compréhension des mécanismes biologiques de la maladie, qui permettra d’en traiter les causes. La génomique, qui produit des mesures à haut débit sur des entités moléculaires, contribue également à ces trois axes de recherche et apporte des informations complémentaires à l’imagerie.</w:t>
      </w:r>
    </w:p>
    <w:p w14:paraId="4A645BB8" w14:textId="1E47AE37" w:rsidR="00264CFB" w:rsidRDefault="00923798">
      <w:pPr>
        <w:jc w:val="both"/>
      </w:pPr>
      <w:r>
        <w:t>Ces dernières années, des efforts internationaux ont permis la constitution de grandes cohortes d’imagerie cérébrale de population générale, qui comportent de plus en plus souvent des données génomiques. L’émergence de ces jeux de données, toujours plus vastes et plus représentatifs de nos populations</w:t>
      </w:r>
      <w:r w:rsidR="00210C7F">
        <w:t>,</w:t>
      </w:r>
      <w:r>
        <w:t xml:space="preserve"> ouvre de nouvelles voies de recherche.</w:t>
      </w:r>
    </w:p>
    <w:p w14:paraId="071F8C05" w14:textId="5339DE66" w:rsidR="00264CFB" w:rsidRDefault="00923798">
      <w:pPr>
        <w:jc w:val="both"/>
      </w:pPr>
      <w:r>
        <w:t xml:space="preserve">En comparaison à des études à effectif limités, ces cohortes de population générales ont des critères d’inclusion larges lors du recrutement des sujets. Cette spécificité des cohortes de population est à notre sens très largement compensée par les caractéristiques propres de ces nouveaux instruments de recherche. A savoir, ces cohortes inaugurent des apports spécifiques dont le plus important à ce jour est un complément aux tableaux cliniques classiques, sous la forme de phénotypes d'imagerie continus, contextuels et biologiquement proches des processus sous-jacents à une maladie ou des processus du développement d’un individu. Ces phénotypes, étalonnés à l’échelle d’une population, </w:t>
      </w:r>
      <w:r>
        <w:lastRenderedPageBreak/>
        <w:t>pourront remplacer avantageusement des étiquettes diagnostiques dichotomiques (cas/contrôle), en les désambiguïsant, pour une prise en charge personnalisées des patients. Ces phénotypes étalonnés pourront être transposés à d’autres cohortes et conféreront une puissance statistique accrue aux analyses. Enfin, ces phénotypes, mesurés au plus près des organes et de de leur fonctionnent, permettront l’étude fondamentale de processus sous-jacents anormaux dans une maladie ou dans le développement de l’individu.</w:t>
      </w:r>
    </w:p>
    <w:p w14:paraId="0D90F313" w14:textId="217088A4" w:rsidR="00D81164" w:rsidRDefault="00923798" w:rsidP="00D81164">
      <w:pPr>
        <w:jc w:val="both"/>
      </w:pPr>
      <w:r>
        <w:t xml:space="preserve">L’intérêt de ces cohortes est renforcé lorsque des données de génomique fonctionnelle sont présentes car elles enrichissent la palette des phénotypes à disposition lors de l’analyse. Enfin ces cohortes, lorsqu’elles comprennent des données génétiques, permettent de mener des études d’association entre des variations génétiques à l’échelle de la population et des traits phénotypiques complexes issus de l’imagerie en prenant en compte le style de vie des sujets de la cohorte pour étudier l’influence des facteurs environnementaux. Cela rend possible l’étude de la part relative de l’environnement et de la génétique dans les phénotypes complexes étudiés. </w:t>
      </w:r>
    </w:p>
    <w:p w14:paraId="604B5E0D" w14:textId="5ABC001B" w:rsidR="00264CFB" w:rsidRDefault="00923798" w:rsidP="00D81164">
      <w:pPr>
        <w:jc w:val="both"/>
      </w:pPr>
      <w:r>
        <w:t>L’analyse de telles cohortes est en cours actuellement à NeuroSpin pour des fins de recherche fondamentale. Il en est ainsi pour des études concernant l’impulsivité</w:t>
      </w:r>
      <w:r>
        <w:fldChar w:fldCharType="begin"/>
      </w:r>
      <w:r>
        <w:instrText>ADDIN CSL_CITATION {"citationItems":[{"id":"ITEM-1","itemData":{"DOI":"10.1001/jamapsychiatry.2018.4126","ISSN":"2168622X","PMID":"30649180","abstract":"Importance: Deviation from normal adolescent brain development precedes manifestations of many major psychiatric symptoms. Such altered developmental trajectories in adolescents may be linked to genetic risk for psychopathology. Objective: To identify genetic variants associated with adolescent brain structure and explore psychopathologic relevance of such associations. Design, Setting, and Participants: Voxelwise genome-wide association study in a cohort of healthy adolescents aged 14 years and validation of the findings using 4 independent samples across the life span with allele-specific expression analysis of top hits. Group comparison of the identified gene-brain association among patients with schizophrenia, unaffected siblings, and healthy control individuals. This was a population-based, multicenter study combined with a clinical sample that included participants from the IMAGEN cohort, Saguenay Youth Study, Three-City Study, and Lieber Institute for Brain Development sample cohorts and UK biobank who were assessed for both brain imaging and genetic sequencing. Clinical samples included patients with schizophrenia and unaffected siblings of patients from the Lieber Institute for Brain Development study. Data were analyzed between October 2015 and April 2018. Main Outcomes and Measures: Gray matter volume was assessed by neuroimaging and genetic variants were genotyped by Illumina BeadChip. Results: The discovery sample included 1721 adolescents (873 girls [50.7%]), with a mean (SD) age of 14.44 (0.41) years. The replication samples consisted of 8690 healthy adults (4497 women [51.8%]) from 4 independent studies across the life span. A nonsynonymous genetic variant (minor T allele of rs13107325 in SLC39A8, a gene implicated in schizophrenia) was associated with greater gray matter volume of the putamen (variance explained of 4.21% in the left hemisphere; 8.66; 95% CI, 6.59-10.81; P = 5.35 × 10-18; and 4.44% in the right hemisphere; t = 8.90; 95% CI, 6.75-11.19; P = 6.80 × 10-19) and also with a lower gene expression of SLC39A8 specifically in the putamen (t127 = -3.87; P = 1.70 × 10-4). The identified association was validated in samples across the life span but was significantly weakened in both patients with schizophrenia (z = -3.05; P =.002; n = 157) and unaffected siblings (z = -2.08; P =.04; n = 149). Conclusions and Relevance: Our results show that a missense mutation in gene SLC39A8 is associated with larger gray matter volume in the putam…","author":[{"dropping-particle":"","family":"Luo","given":"Qiang","non-dropping-particle":"","parse-names":false,"suffix":""},{"dropping-particle":"","family":"Chen","given":"Qiang","non-dropping-particle":"","parse-names":false,"suffix":""},{"dropping-particle":"","family":"Wang","given":"Wenjia","non-dropping-particle":"","parse-names":false,"suffix":""},{"dropping-particle":"","family":"Desrivières","given":"Sylvane","non-dropping-particle":"","parse-names":false,"suffix":""},{"dropping-particle":"","family":"Quinlan","given":"Erin Burke","non-dropping-particle":"","parse-names":false,"suffix":""},{"dropping-particle":"","family":"Jia","given":"Tianye","non-dropping-particle":"","parse-names":false,"suffix":""},{"dropping-particle":"","family":"Macare","given":"Christine","non-dropping-particle":"","parse-names":false,"suffix":""},{"dropping-particle":"","family":"Robert","given":"Gabriel H.","non-dropping-particle":"","parse-names":false,"suffix":""},{"dropping-particle":"","family":"Cui","given":"Jing","non-dropping-particle":"","parse-names":false,"suffix":""},{"dropping-particle":"","family":"Guedj","given":"Mickaël","non-dropping-particle":"","parse-names":false,"suffix":""},{"dropping-particle":"","family":"Palaniyappan","given":"Lena","non-dropping-particle":"","parse-names":false,"suffix":""},{"dropping-particle":"","family":"Kherif","given":"Ferath","non-dropping-particle":"","parse-names":false,"suffix":""},{"dropping-particle":"","family":"Banaschewski","given":"Tobias","non-dropping-particle":"","parse-names":false,"suffix":""},{"dropping-particle":"","family":"Bokde","given":"Arun L.W.","non-dropping-particle":"","parse-names":false,"suffix":""},{"dropping-particle":"","family":"Büchel","given":"Christian","non-dropping-particle":"","parse-names":false,"suffix":""},{"dropping-particle":"","family":"Flor","given":"Herta","non-dropping-particle":"","parse-names":false,"suffix":""},{"dropping-particle":"","family":"Frouin","given":"Vincent","non-dropping-particle":"","parse-names":false,"suffix":""},{"dropping-particle":"","family":"Garavan","given":"Hugh","non-dropping-particle":"","parse-names":false,"suffix":""},{"dropping-particle":"","family":"Gowland","given":"Penny","non-dropping-particle":"","parse-names":false,"suffix":""},{"dropping-particle":"","family":"Heinz","given":"Andreas","non-dropping-particle":"","parse-names":false,"suffix":""},{"dropping-particle":"","family":"Ittermann","given":"Bernd","non-dropping-particle":"","parse-names":false,"suffix":""},{"dropping-particle":"","family":"Martinot","given":"Jean Luc","non-dropping-particle":"","parse-names":false,"suffix":""},{"dropping-particle":"","family":"Artiges","given":"Eric","non-dropping-particle":"","parse-names":false,"suffix":""},{"dropping-particle":"","family":"Paillère-Martinot","given":"Marie Laure","non-dropping-particle":"","parse-names":false,"suffix":""},{"dropping-particle":"","family":"Nees","given":"Frauke","non-dropping-particle":"","parse-names":false,"suffix":""},{"dropping-particle":"","family":"Orfanos","given":"Dimitri Papadopoulos","non-dropping-particle":"","parse-names":false,"suffix":""},{"dropping-particle":"","family":"Poustka","given":"Luise","non-dropping-particle":"","parse-names":false,"suffix":""},{"dropping-particle":"","family":"Fröhner","given":"Juliane H.","non-dropping-particle":"","parse-names":false,"suffix":""},{"dropping-particle":"","family":"Smolka","given":"Michael N.","non-dropping-particle":"","parse-names":false,"suffix":""},{"dropping-particle":"","family":"Walter","given":"Henrik","non-dropping-particle":"","parse-names":false,"suffix":""},{"dropping-particle":"","family":"Whelan","given":"Robert","non-dropping-particle":"","parse-names":false,"suffix":""},{"dropping-particle":"","family":"Callicott","given":"Joseph H.","non-dropping-particle":"","parse-names":false,"suffix":""},{"dropping-particle":"","family":"Mattay","given":"Venkata S.","non-dropping-particle":"","parse-names":false,"suffix":""},{"dropping-particle":"","family":"Pausova","given":"Zdenka","non-dropping-particle":"","parse-names":false,"suffix":""},{"dropping-particle":"","family":"Dartigues","given":"Jean François","non-dropping-particle":"","parse-names":false,"suffix":""},{"dropping-particle":"","family":"Tzourio","given":"Christophe","non-dropping-particle":"","parse-names":false,"suffix":""},{"dropping-particle":"","family":"Crivello","given":"Fabrice","non-dropping-particle":"","parse-names":false,"suffix":""},{"dropping-particle":"","family":"Berman","given":"Karen F.","non-dropping-particle":"","parse-names":false,"suffix":""},{"dropping-particle":"","family":"Li","given":"Fei","non-dropping-particle":"","parse-names":false,"suffix":""},{"dropping-particle":"","family":"Paus","given":"Tomáš","non-dropping-particle":"","parse-names":false,"suffix":""},{"dropping-particle":"","family":"Weinberger","given":"Daniel R.","non-dropping-particle":"","parse-names":false,"suffix":""},{"dropping-particle":"","family":"Murray","given":"Robin M.","non-dropping-particle":"","parse-names":false,"suffix":""},{"dropping-particle":"","family":"Schumann","given":"Gunter","non-dropping-particle":"","parse-names":false,"suffix":""},{"dropping-particle":"","family":"Feng","given":"Jianfeng","non-dropping-particle":"","parse-names":false,"suffix":""}],"container-title":"JAMA Psychiatry","id":"ITEM-1","issue":"4","issued":{"date-parts":[["2019"]]},"language":"eng","page":"435-445","title":"Association of a Schizophrenia-Risk Nonsynonymous Variant with Putamen Volume in Adolescents: A Voxelwise and Genome-Wide Association Study","title-short":"Association of a Schizophrenia-Risk Nonsynonymous ","type":"article-journal","volume":"76"},"uris":["http://www.mendeley.com/documents/?uuid=4ef70d69-4231-40cc-8690-81efe4b34359"]}],"mendeley":{"formattedCitation":"(Luo et al., 2019)","plainTextFormattedCitation":"(Luo et al., 2019)","previouslyFormattedCitation":"(Luo et al., 2019)"},"properties":{"noteIndex":0},"schema":"https://github.com/citation-style-language/schema/raw/master/csl-citation.json"})</w:instrText>
      </w:r>
      <w:r>
        <w:fldChar w:fldCharType="end"/>
      </w:r>
      <w:r>
        <w:t xml:space="preserve"> sur les données </w:t>
      </w:r>
      <w:r>
        <w:rPr>
          <w:b/>
        </w:rPr>
        <w:t xml:space="preserve">IMAGEN </w:t>
      </w:r>
      <w:r>
        <w:t xml:space="preserve">(Luo et al., 2019), pour des études sur la sulcation du cerveau sur les données </w:t>
      </w:r>
      <w:r>
        <w:rPr>
          <w:b/>
        </w:rPr>
        <w:t>HCP</w:t>
      </w:r>
      <w:r>
        <w:t xml:space="preserve"> </w:t>
      </w:r>
      <w:r>
        <w:fldChar w:fldCharType="begin"/>
      </w:r>
      <w:r>
        <w:instrText>ADDIN CSL_CITATION {"citationItems":[{"id":"ITEM-1","itemData":{"DOI":"10.1016/j.neuroimage.2018.03.046","ISSN":"10538119","abstract":"The asymmetry of the superior temporal sulcus (STS) has been identified as a species-specific feature of the human brain. The so-called superior temporal asymmetrical pit (STAP) area is observed from the last trimester of gestation onwards and is far less pronounced in the chimpanzee brain. This asymmetry is associated with more frequent sulcal interruptions, named plis de passage (PPs), leading to the irregular morphology of the left sulcus. In this paper, we aimed to characterize the variability, asymmetry, and heritability of these interruptions in the STS in comparison with the other main sulci. We developed an automated method to extract PPs across the cortex based on a highly reproducible grid of sulcal pits across individuals, which we applied to a subset of Human Connectome Project (HCP) subjects (N = 820). We report that only a few PPs across the cortex are genetically constrained, namely in the collateral, postcentral and superior temporal sulci and the calcarine fissure. Moreover, some PPs occur more often in one hemisphere than the other, namely in the precentral, postcentral, intraparietal sulci, as well as in both inferior and superior temporal sulci. Most importantly, we found that only the interruptions within the STAP region are both asymmetric and genetically constrained. Because this morphological pattern is located in an area of the left hemisphere related to speech, our results suggest structural constraints on the architecture of the linguistic network.","author":[{"dropping-particle":"","family":"Guen","given":"Yann","non-dropping-particle":"Le","parse-names":false,"suffix":""},{"dropping-particle":"","family":"Leroy","given":"François","non-dropping-particle":"","parse-names":false,"suffix":""},{"dropping-particle":"","family":"Auzias","given":"Guillaume","non-dropping-particle":"","parse-names":false,"suffix":""},{"dropping-particle":"","family":"Riviere","given":"Denis","non-dropping-particle":"","parse-names":false,"suffix":""},{"dropping-particle":"","family":"Grigis","given":"Antoine","non-dropping-particle":"","parse-names":false,"suffix":""},{"dropping-particle":"","family":"Mangin","given":"Jean-François François","non-dropping-particle":"","parse-names":false,"suffix":""},{"dropping-particle":"","family":"Coulon","given":"Olivier","non-dropping-particle":"","parse-names":false,"suffix":""},{"dropping-particle":"","family":"Dehaene-Lambertz","given":"Ghislaine","non-dropping-particle":"","parse-names":false,"suffix":""},{"dropping-particle":"","family":"Frouin","given":"Vincent","non-dropping-particle":"","parse-names":false,"suffix":""}],"container-title":"NeuroImage","id":"ITEM-1","issued":{"date-parts":[["2018"]]},"page":"297-307","publisher":"Elsevier Ltd","title":"The chaotic morphology of the left superior temporal sulcus is genetically constrained","type":"article-journal","volume":"174"},"uris":["http://www.mendeley.com/documents/?uuid=b0cde215-89c2-420a-bb2e-726ec2d30b8d"]}],"mendeley":{"formattedCitation":"(Le Guen et al., 2018)","plainTextFormattedCitation":"(Le Guen et al., 2018)","previouslyFormattedCitation":"(Le Guen et al., 2018)"},"properties":{"noteIndex":0},"schema":"https://github.com/citation-style-language/schema/raw/master/csl-citation.json"}</w:instrText>
      </w:r>
      <w:r>
        <w:fldChar w:fldCharType="separate"/>
      </w:r>
      <w:r>
        <w:t>(Le Guen et al., 2018)</w:t>
      </w:r>
      <w:r>
        <w:fldChar w:fldCharType="end"/>
      </w:r>
      <w:r>
        <w:t xml:space="preserve"> et </w:t>
      </w:r>
      <w:r>
        <w:rPr>
          <w:b/>
        </w:rPr>
        <w:t>UK-BioBank</w:t>
      </w:r>
      <w:r>
        <w:t xml:space="preserve">  </w:t>
      </w:r>
      <w:r>
        <w:fldChar w:fldCharType="begin"/>
      </w:r>
      <w:r>
        <w:instrText>ADDIN CSL_CITATION {"citationItems":[{"id":"ITEM-1","itemData":{"DOI":"10.1101/539189","abstract":"Uncovering the genes that contribute to the variability in brain regions involved in language processing might shed light on the evolution of brain structures essential to the emergence of language in Homo sapiens. The superior temporal asymmetrical pit (STAP), which is not observed in chimpanzees, represents an ideal phenotype to investigate the genetic variations that support human communication. The depth of the left STAP was significantly associated with a DACT1 enhancer region in the UK Biobank British discovery sample (N=16,515). This association was replicated in the IMAGEN cohort (N=1,726) and the UK Biobank non-British validation sample (N=2,161). This genomic region was also associated to a lesser extent with the right STAP depth and the formation of sulcal interruptions, plis de passage, in the bilateral STAP but not with other structural brain MRI phenotypes, highlighting its specific expression in the superior temporal regions. Diffusion MRI emphasized an association with the fractional anisotropy of the left auditory fibers of the corpus callosum and with networks involved in linguistic processing in resting-state functional MRI. Finally, DACT1 is mainly expressed during the first two trimesters of pregnancy just before the superior temporal sulcus becomes visible and the first evidence of speech processing is observed in preterm neonates. Overall, this evidence demonstrates a significant, specific relationship between variants in this genomic region and the establishment of the superior temporal regions that support human communication.","author":[{"dropping-particle":"","family":"Guen","given":"Yann","non-dropping-particle":"Le","parse-names":false,"suffix":""},{"dropping-particle":"","family":"Leroy","given":"Francois","non-dropping-particle":"","parse-names":false,"suffix":""},{"dropping-particle":"","family":"Philippe","given":"Cathy","non-dropping-particle":"","parse-names":false,"suffix":""},{"dropping-particle":"","family":"Consortium","given":"IMAGEN","non-dropping-particle":"","parse-names":false,"suffix":""},{"dropping-particle":"","family":"Mangin","given":"Jean-Francois","non-dropping-particle":"","parse-names":false,"suffix":""},{"dropping-particle":"","family":"Dehaene-Lambertz","given":"Ghislaine","non-dropping-particle":"","parse-names":false,"suffix":""},{"dropping-particle":"","family":"Frouin","given":"Vincent","non-dropping-particle":"","parse-names":false,"suffix":""}],"container-title":"bioRxiv","id":"ITEM-1","issued":{"date-parts":[["2019","2","3"]]},"page":"539189","publisher":"Cold Spring Harbor Laboratory","title":"A DACT1 enhancer modulates brain asymmetric temporal regions involved in language processing","type":"article-journal"},"uris":["http://www.mendeley.com/documents/?uuid=95c941d2-2468-3e16-ac21-a5b0d1cf4cca"]}],"mendeley":{"formattedCitation":"(Le Guen et al., 2019)","plainTextFormattedCitation":"(Le Guen et al., 2019)","previouslyFormattedCitation":"(Le Guen et al., 2019)"},"properties":{"noteIndex":0},"schema":"https://github.com/citation-style-language/schema/raw/master/csl-citation.json"}</w:instrText>
      </w:r>
      <w:r>
        <w:fldChar w:fldCharType="separate"/>
      </w:r>
      <w:r>
        <w:t>(Le Guen et al., 2019)</w:t>
      </w:r>
      <w:r>
        <w:fldChar w:fldCharType="end"/>
      </w:r>
      <w:r>
        <w:t xml:space="preserve">. De même, en recherche médicale, la cohorte </w:t>
      </w:r>
      <w:r>
        <w:rPr>
          <w:b/>
        </w:rPr>
        <w:t>EU-AIMS</w:t>
      </w:r>
      <w:r>
        <w:t xml:space="preserve"> est utilisée pour élaborer des biomarqueurs prédictifs de l’</w:t>
      </w:r>
      <w:r w:rsidR="00D81164">
        <w:t>autisme</w:t>
      </w:r>
      <w:r>
        <w:t xml:space="preserve"> </w:t>
      </w:r>
      <w:r>
        <w:fldChar w:fldCharType="begin"/>
      </w:r>
      <w:r>
        <w:instrText>ADDIN CSL_CITATION {"citationItems":[{"id":"ITEM-1","itemData":{"DOI":"10.1186/s13229-020-0317-x","ISSN":"20402392","PMID":"32087753","abstract":"Background: Autism spectrum disorder (ASD) is a neurodevelopmental condition with key deficits in social functioning. It is widely assumed that the biological underpinnings of social impairment are neurofunctional alterations in the \"social brain,\" a neural circuitry involved in inferring the mental state of a social partner. However, previous evidence comes from small-scale studies and findings have been mixed. We therefore carried out the to-date largest study on neural correlates of mentalizing in ASD. Methods: As part of the Longitudinal European Autism Project, we performed functional magnetic resonance imaging at six European sites in a large, well-powered, and deeply phenotyped sample of individuals with ASD (N = 205) and typically developing (TD) individuals (N = 189) aged 6 to 30 years. We presented an animated shapes task to assess and comprehensively characterize social brain activation during mentalizing. We tested for effects of age, diagnosis, and their association with symptom measures, including a continuous measure of autistic traits. Results: We observed robust effects of task. Within the ASD sample, autistic traits were moderately associated with functional activation in one of the key regions of the social brain, the dorsomedial prefrontal cortex. However, there were no significant effects of diagnosis on task performance and no effects of age and diagnosis on social brain responses. Besides a lack of mean group differences, our data provide no evidence for meaningful differences in the distribution of brain response measures. Extensive control analyses suggest that the lack of case-control differences was not due to a variety of potential confounders. Conclusions: Contrary to prior reports, this large-scale study does not support the assumption that altered social brain activation during mentalizing forms a common neural marker of ASD, at least with the paradigm we employed. Yet, autistic individuals show socio-behavioral deficits. Our work therefore highlights the need to interrogate social brain function with other brain measures, such as connectivity and network-based approaches, using other paradigms, or applying complementary analysis approaches to assess individual differences in this heterogeneous condition.","author":[{"dropping-particle":"","family":"Moessnang","given":"Carolin","non-dropping-particle":"","parse-names":false,"suffix":""},{"dropping-particle":"","family":"Baumeister","given":"Sarah","non-dropping-particle":"","parse-names":false,"suffix":""},{"dropping-particle":"","family":"Tillmann","given":"Julian","non-dropping-particle":"","parse-names":false,"suffix":""},{"dropping-particle":"","family":"Goyard","given":"David","non-dropping-particle":"","parse-names":false,"suffix":""},{"dropping-particle":"","family":"Charman","given":"Tony","non-dropping-particle":"","parse-names":false,"suffix":""},{"dropping-particle":"","family":"Ambrosino","given":"Sara","non-dropping-particle":"","parse-names":false,"suffix":""},{"dropping-particle":"","family":"Baron-Cohen","given":"Simon","non-dropping-particle":"","parse-names":false,"suffix":""},{"dropping-particle":"","family":"Beckmann","given":"Christian","non-dropping-particle":"","parse-names":false,"suffix":""},{"dropping-particle":"","family":"Bölte","given":"Sven","non-dropping-particle":"","parse-names":false,"suffix":""},{"dropping-particle":"","family":"Bours","given":"Carsten","non-dropping-particle":"","parse-names":false,"suffix":""},{"dropping-particle":"","family":"Crawley","given":"Daisy","non-dropping-particle":"","parse-names":false,"suffix":""},{"dropping-particle":"","family":"Dell'Acqua","given":"Flavio","non-dropping-particle":"","parse-names":false,"suffix":""},{"dropping-particle":"","family":"Durston","given":"Sarah","non-dropping-particle":"","parse-names":false,"suffix":""},{"dropping-particle":"","family":"Ecker","given":"Christine","non-dropping-particle":"","parse-names":false,"suffix":""},{"dropping-particle":"","family":"Frouin","given":"Vincent","non-dropping-particle":"","parse-names":false,"suffix":""},{"dropping-particle":"","family":"Hayward","given":"Hannah","non-dropping-particle":"","parse-names":false,"suffix":""},{"dropping-particle":"","family":"Holt","given":"Rosemary","non-dropping-particle":"","parse-names":false,"suffix":""},{"dropping-particle":"","family":"Johnson","given":"Mark","non-dropping-particle":"","parse-names":false,"suffix":""},{"dropping-particle":"","family":"Jones","given":"Emily","non-dropping-particle":"","parse-names":false,"suffix":""},{"dropping-particle":"","family":"Lai","given":"Meng Chuan","non-dropping-particle":"","parse-names":false,"suffix":""},{"dropping-particle":"V.","family":"Lombardo","given":"Michael","non-dropping-particle":"","parse-names":false,"suffix":""},{"dropping-particle":"","family":"Mason","given":"Luke","non-dropping-particle":"","parse-names":false,"suffix":""},{"dropping-particle":"","family":"Oldenhinkel","given":"Marianne","non-dropping-particle":"","parse-names":false,"suffix":""},{"dropping-particle":"","family":"Persico","given":"Antonio","non-dropping-particle":"","parse-names":false,"suffix":""},{"dropping-particle":"","family":"Cáceres","given":"Antonia San José","non-dropping-particle":"","parse-names":false,"suffix":""},{"dropping-particle":"","family":"Spooren","given":"Will","non-dropping-particle":"","parse-names":false,"suffix":""},{"dropping-particle":"","family":"Loth","given":"Eva","non-dropping-particle":"","parse-names":false,"suffix":""},{"dropping-particle":"","family":"Murphy","given":"Declan G.M.","non-dropping-particle":"","parse-names":false,"suffix":""},{"dropping-particle":"","family":"Buitelaar","given":"Jan K.","non-dropping-particle":"","parse-names":false,"suffix":""},{"dropping-particle":"","family":"Banaschewski","given":"Tobias","non-dropping-particle":"","parse-names":false,"suffix":""},{"dropping-particle":"","family":"Brandeis","given":"Daniel","non-dropping-particle":"","parse-names":false,"suffix":""},{"dropping-particle":"","family":"Tost","given":"Heike","non-dropping-particle":"","parse-names":false,"suffix":""},{"dropping-particle":"","family":"Meyer-Lindenberg","given":"Andreas","non-dropping-particle":"","parse-names":false,"suffix":""}],"container-title":"Molecular Autism","id":"ITEM-1","issue":"1","issued":{"date-parts":[["2020","2","22"]]},"page":"17","publisher":"BioMed Central Ltd.","title":"Social brain activation during mentalizing in a large autism cohort: The Longitudinal European Autism Project","type":"article-journal","volume":"11"},"uris":["http://www.mendeley.com/documents/?uuid=a9a3fd01-57b2-32d1-8cac-f6e4e0d7c851"]}],"mendeley":{"formattedCitation":"(Moessnang et al., 2020)","plainTextFormattedCitation":"(Moessnang et al., 2020)","previouslyFormattedCitation":"(Moessnang et al., 2020)"},"properties":{"noteIndex":0},"schema":"https://github.com/citation-style-language/schema/raw/master/csl-citation.json"}</w:instrText>
      </w:r>
      <w:r>
        <w:fldChar w:fldCharType="separate"/>
      </w:r>
      <w:r>
        <w:t>(Moessnang et al., 2020)</w:t>
      </w:r>
      <w:r>
        <w:fldChar w:fldCharType="end"/>
      </w:r>
      <w:r>
        <w:t xml:space="preserve"> et les données </w:t>
      </w:r>
      <w:r>
        <w:rPr>
          <w:b/>
        </w:rPr>
        <w:t>ADNI</w:t>
      </w:r>
      <w:r>
        <w:t xml:space="preserve"> pour la caractérisation de la maladie d’Alzheimer </w:t>
      </w:r>
      <w:r>
        <w:fldChar w:fldCharType="begin"/>
      </w:r>
      <w:r>
        <w:instrText>ADDIN CSL_CITATION {"citationItems":[{"id":"ITEM-1","itemData":{"author":[{"dropping-particle":"","family":"Guigui","given":"N","non-dropping-particle":"","parse-names":false,"suffix":""},{"dropping-particle":"","family":"Philippe","given":"C","non-dropping-particle":"","parse-names":false,"suffix":""},{"dropping-particle":"","family":"Gloaguen","given":"A","non-dropping-particle":"","parse-names":false,"suffix":""},{"dropping-particle":"","family":"Karkar","given":"S","non-dropping-particle":"","parse-names":false,"suffix":""},{"dropping-particle":"","family":"Guillemot","given":"V","non-dropping-particle":"","parse-names":false,"suffix":""},{"dropping-particle":"","family":"Löfstedt","given":"T","non-dropping-particle":"","parse-names":false,"suffix":""},{"dropping-particle":"","family":"Frouin","given":"V","non-dropping-particle":"","parse-names":false,"suffix":""}],"container-title":"ISBI 2019 - Proceedings of the IEEE International Symposium on Biomedical Imaging","id":"ITEM-1","issued":{"date-parts":[["2019"]]},"publisher-place":"Venice, Italy","title":"Network regularization in imaging genetics improves prediction performances and model interpretability on Alzheimers's disease","type":"paper-conference"},"uris":["http://www.mendeley.com/documents/?uuid=91a72f26-111e-4aea-b51a-2ee5276d140a"]}],"mendeley":{"formattedCitation":"(Guigui et al., 2019)","plainTextFormattedCitation":"(Guigui et al., 2019)","previouslyFormattedCitation":"(Guigui et al., 2019)"},"properties":{"noteIndex":0},"schema":"https://github.com/citation-style-language/schema/raw/master/csl-citation.json"}</w:instrText>
      </w:r>
      <w:r>
        <w:fldChar w:fldCharType="separate"/>
      </w:r>
      <w:r>
        <w:t>(Guigui et al., 2019)</w:t>
      </w:r>
      <w:r>
        <w:fldChar w:fldCharType="end"/>
      </w:r>
      <w:r>
        <w:t>.</w:t>
      </w:r>
    </w:p>
    <w:p w14:paraId="46640871" w14:textId="77777777" w:rsidR="00264CFB" w:rsidRDefault="00923798">
      <w:pPr>
        <w:jc w:val="both"/>
        <w:rPr>
          <w:b/>
        </w:rPr>
      </w:pPr>
      <w:r>
        <w:rPr>
          <w:b/>
        </w:rPr>
        <w:t>Objectifs : apport des modèles graphiques en intelligence artificielle.</w:t>
      </w:r>
    </w:p>
    <w:p w14:paraId="06A4AA3A" w14:textId="6F46406D" w:rsidR="00264CFB" w:rsidRDefault="00923798">
      <w:pPr>
        <w:jc w:val="both"/>
      </w:pPr>
      <w:r>
        <w:t xml:space="preserve">Nous proposons d’utiliser des approches d’apprentissage profond utilisant les réseaux de neurones basés graphes (GraphNN) pour traiter des corpus de données issus de cohortes de population. Ces GraphNN auront trois objectifs. Premièrement, il s’agit d’intégrer les données multi-omiques et les données d’imagerie multi-modales disponibles sur un échantillonnage cartésien (espace image) ou représentées sous forme de graphes (c’est le cas des données de connectivité structurelle et fonctionnelle tirées des IRM de diffusion ou des IRM fonctionnelle de repos). </w:t>
      </w:r>
      <w:r w:rsidR="00D81164">
        <w:t>Deuxièmement, le</w:t>
      </w:r>
      <w:r>
        <w:t xml:space="preserve"> travail visera à intégrer les connaissances disponibles en neurosciences et en biologie, potentiellement décrites par des graphes. Enfin une tâche sera dévolue à la mise en avant des parties discriminantes de graphe lors de nos analyses de population. </w:t>
      </w:r>
    </w:p>
    <w:p w14:paraId="76231802" w14:textId="01781CB1" w:rsidR="00264CFB" w:rsidRDefault="00923798">
      <w:pPr>
        <w:jc w:val="both"/>
      </w:pPr>
      <w:r>
        <w:t xml:space="preserve">En s’appuyant sur la récente formalisation par la communauté scientifique des réseaux de neurones basés graphes </w:t>
      </w:r>
      <w:r>
        <w:fldChar w:fldCharType="begin"/>
      </w:r>
      <w:r>
        <w:instrText>ADDIN CSL_CITATION {"citationItems":[{"id":"ITEM-1","itemData":{"DOI":"10.1109/tnnls.2020.2978386","ISSN":"2162-237X","abstract":"Deep learning has revolutionized many machine learning tasks in recent years, ranging from image classification and video processing to speech recognition and natural language understanding. The data in these tasks are typically represented in the Euclidean space. However, there is an increasing number of applications where data are generated from non-Euclidean domains and are represented as graphs with complex relationships and interdependency between objects. The complexity of graph data has imposed significant challenges on existing machine learning algorithms. Recently, many studies on extending deep learning approaches for graph data have emerged. In this survey, we provide a comprehensive overview of graph neural networks (GNNs) in data mining and machine learning fields. We propose a new taxonomy to divide the state-of-the-art graph neural networks into four categories, namely recurrent graph neural networks, convolutional graph neural networks, graph autoencoders, and spatial-temporal graph neural networks. We further discuss the applications of graph neural networks across various domains and summarize the open source codes, benchmark data sets, and model evaluation of graph neural networks. Finally, we propose potential research directions in this rapidly growing field.","author":[{"dropping-particle":"","family":"Wu","given":"Zonghan","non-dropping-particle":"","parse-names":false,"suffix":""},{"dropping-particle":"","family":"Pan","given":"Shirui","non-dropping-particle":"","parse-names":false,"suffix":""},{"dropping-particle":"","family":"Chen","given":"Fengwen","non-dropping-particle":"","parse-names":false,"suffix":""},{"dropping-particle":"","family":"Long","given":"Guodong","non-dropping-particle":"","parse-names":false,"suffix":""},{"dropping-particle":"","family":"Zhang","given":"Chengqi","non-dropping-particle":"","parse-names":false,"suffix":""},{"dropping-particle":"","family":"Yu","given":"Philip S.","non-dropping-particle":"","parse-names":false,"suffix":""}],"container-title":"IEEE Transactions on Neural Networks and Learning Systems","id":"ITEM-1","issued":{"date-parts":[["2020","3","24"]]},"page":"1-21","publisher":"Institute of Electrical and Electronics Engineers (IEEE)","title":"A Comprehensive Survey on Graph Neural Networks","type":"article-journal"},"uris":["http://www.mendeley.com/documents/?uuid=0407e581-815e-309f-8db8-4ff10b2bfbe6"]}],"mendeley":{"formattedCitation":"(Wu et al., 2020)","plainTextFormattedCitation":"(Wu et al., 2020)"},"properties":{"noteIndex":0},"schema":"https://github.com/citation-style-language/schema/raw/master/csl-citation.json"}</w:instrText>
      </w:r>
      <w:r>
        <w:fldChar w:fldCharType="separate"/>
      </w:r>
      <w:r>
        <w:t>(Wu et al., 2020)</w:t>
      </w:r>
      <w:r>
        <w:fldChar w:fldCharType="end"/>
      </w:r>
      <w:r>
        <w:t>, nous proposons d’explorer la capacité des GraphNN à analyser des données biologiques et médicales présentées sous forme de  graphes. Ce support est très adapté pour tenter de représenter et d’expliquer les processus du monde vivant. Des cadres d’apprentissage sont en cours d’élaboration pour ces GraphNN, qui reprennent les principes du transfer learning et des modèles génératifs. Ces cadres offrent des opportunités pour palier le faible nombre de mesures (compté en milliers cependant) et proposer des phénotype originaux et interprétables.</w:t>
      </w:r>
    </w:p>
    <w:p w14:paraId="708994FF" w14:textId="77777777" w:rsidR="00264CFB" w:rsidRDefault="00923798">
      <w:pPr>
        <w:jc w:val="both"/>
        <w:rPr>
          <w:b/>
        </w:rPr>
      </w:pPr>
      <w:r>
        <w:rPr>
          <w:b/>
        </w:rPr>
        <w:t>Atouts :</w:t>
      </w:r>
    </w:p>
    <w:p w14:paraId="6925E58F" w14:textId="77777777" w:rsidR="00264CFB" w:rsidRDefault="00923798">
      <w:pPr>
        <w:jc w:val="both"/>
      </w:pPr>
      <w:r>
        <w:t>Le groupe d'imagerie génétique de NeuroSpin (BrainOmics) dispose de plusieurs atouts dans ces travaux. Tout d'abord, grâce à notre expertise en traitement d'images IRM du cerveau, nous extrayons des phénotypes riches et originaux en imagerie IRM multi-modales, allant des caractéristiques des sillons corticaux aux réseaux fonctionnels ou structurels. Nous avons déjà démontré notre capacité à passer nos traitements à l'échelle pour des cohortes d’intérêt clinique en oncologie comme BIOMEDE ou sur des pathologies neurodégenératives comme CATI/MEMENTO.</w:t>
      </w:r>
    </w:p>
    <w:p w14:paraId="6DE48094" w14:textId="57F99E1F" w:rsidR="00264CFB" w:rsidRDefault="00923798">
      <w:pPr>
        <w:jc w:val="both"/>
      </w:pPr>
      <w:r>
        <w:lastRenderedPageBreak/>
        <w:t xml:space="preserve">Actuellement NeuroSpin accueille plusieurs doctorants qui travaillent sur diverses applications des réseaux de neurones comme la classification, la segmentation, le recalage, le traitement du langage naturel </w:t>
      </w:r>
      <w:r w:rsidR="002D21A5">
        <w:t>ou la</w:t>
      </w:r>
      <w:r>
        <w:t xml:space="preserve"> reconstruction d’images IRM.</w:t>
      </w:r>
    </w:p>
    <w:p w14:paraId="7225A19A" w14:textId="77777777" w:rsidR="00264CFB" w:rsidRDefault="00923798">
      <w:pPr>
        <w:pStyle w:val="Titre2"/>
        <w:jc w:val="both"/>
      </w:pPr>
      <w:r>
        <w:t>Méthode et données</w:t>
      </w:r>
    </w:p>
    <w:p w14:paraId="28B58A42" w14:textId="7F607C93" w:rsidR="00264CFB" w:rsidRDefault="00923798">
      <w:pPr>
        <w:jc w:val="both"/>
        <w:rPr>
          <w:lang w:eastAsia="fr-FR"/>
        </w:rPr>
      </w:pPr>
      <w:r>
        <w:rPr>
          <w:b/>
          <w:lang w:eastAsia="fr-FR"/>
        </w:rPr>
        <w:t>Données</w:t>
      </w:r>
      <w:r>
        <w:rPr>
          <w:lang w:eastAsia="fr-FR"/>
        </w:rPr>
        <w:t>. Les chercheurs de NeuroSpin accèdent à de grandes cohortes de population internationales du fait de leur implication dans divers consortiums.  Par ailleurs, nous accédons et nous utilisons les nombreuses ressources de référence disponibles dans la communauté. Ces données de haute qualité requièrent des infrastructures de très grandes importance tant en terme de calcul (utilisation des centres nationaux de calcul comme le CCRT) que de stockage (utilisation de la plateforme de données de santé de Bruyère Le Chatel, PFRDS). Ces cohortes rassemblent des mesures qui couvrent plusieurs niveaux d'organisation du vivant (séquence, expression des gènes, épigénétique, imagerie, dossier clinique et mesures comportementales).</w:t>
      </w:r>
    </w:p>
    <w:p w14:paraId="5785BC73" w14:textId="77777777" w:rsidR="00264CFB" w:rsidRDefault="00923798">
      <w:pPr>
        <w:jc w:val="both"/>
        <w:rPr>
          <w:b/>
        </w:rPr>
      </w:pPr>
      <w:r>
        <w:rPr>
          <w:b/>
          <w:lang w:eastAsia="fr-FR"/>
        </w:rPr>
        <w:t>Cohortes généralistes :</w:t>
      </w:r>
    </w:p>
    <w:p w14:paraId="409B63A4" w14:textId="77777777" w:rsidR="00264CFB" w:rsidRDefault="00923798">
      <w:pPr>
        <w:pStyle w:val="Paragraphedeliste"/>
        <w:numPr>
          <w:ilvl w:val="0"/>
          <w:numId w:val="3"/>
        </w:numPr>
        <w:tabs>
          <w:tab w:val="left" w:pos="1985"/>
        </w:tabs>
        <w:jc w:val="both"/>
        <w:rPr>
          <w:lang w:eastAsia="fr-FR"/>
        </w:rPr>
      </w:pPr>
      <w:r>
        <w:rPr>
          <w:lang w:eastAsia="fr-FR"/>
        </w:rPr>
        <w:t xml:space="preserve">IMAGEN : Cohorte européenne sur la santé mentale des adolescents (~2.000 sujets, trois visites). Etude longitudinale avec IRM anatomique et fonctionnelle, génotype et méthylation, comportement -  </w:t>
      </w:r>
      <w:hyperlink r:id="rId7" w:history="1">
        <w:r>
          <w:rPr>
            <w:rStyle w:val="Lienhypertexte"/>
          </w:rPr>
          <w:t>https://imagen-europe.com/</w:t>
        </w:r>
      </w:hyperlink>
      <w:r>
        <w:t>.</w:t>
      </w:r>
    </w:p>
    <w:p w14:paraId="244A5895" w14:textId="77777777" w:rsidR="00264CFB" w:rsidRDefault="00923798">
      <w:pPr>
        <w:pStyle w:val="Paragraphedeliste"/>
        <w:numPr>
          <w:ilvl w:val="0"/>
          <w:numId w:val="3"/>
        </w:numPr>
        <w:tabs>
          <w:tab w:val="left" w:pos="1985"/>
        </w:tabs>
        <w:jc w:val="both"/>
        <w:rPr>
          <w:lang w:eastAsia="fr-FR"/>
        </w:rPr>
      </w:pPr>
      <w:r>
        <w:rPr>
          <w:lang w:eastAsia="fr-FR"/>
        </w:rPr>
        <w:t xml:space="preserve">AIMS : Cohorte européenne d’étude sur l’autisme (~1.000 sujets, deux visites). Etude longitudinale avec imagerie IRM anatomique et fonctionnelle, génotype, Eye tracking, EEG, comportement - </w:t>
      </w:r>
      <w:hyperlink r:id="rId8" w:history="1">
        <w:r>
          <w:rPr>
            <w:rStyle w:val="Lienhypertexte"/>
          </w:rPr>
          <w:t>https://www.eu-aims.eu/</w:t>
        </w:r>
      </w:hyperlink>
      <w:r>
        <w:t>.</w:t>
      </w:r>
    </w:p>
    <w:p w14:paraId="533502FA" w14:textId="77777777" w:rsidR="00264CFB" w:rsidRDefault="00923798">
      <w:pPr>
        <w:pStyle w:val="Paragraphedeliste"/>
        <w:numPr>
          <w:ilvl w:val="0"/>
          <w:numId w:val="3"/>
        </w:numPr>
        <w:tabs>
          <w:tab w:val="left" w:pos="1985"/>
        </w:tabs>
        <w:jc w:val="both"/>
        <w:rPr>
          <w:lang w:eastAsia="fr-FR"/>
        </w:rPr>
      </w:pPr>
      <w:r>
        <w:rPr>
          <w:lang w:eastAsia="fr-FR"/>
        </w:rPr>
        <w:t>HCP : Cohorte US sur sujets adultes (~1.200 sujets). Données imagerie IRM de hautes qualité anatomiques, fonctionnelle et de diffusion, génotype -</w:t>
      </w:r>
      <w:hyperlink r:id="rId9" w:history="1">
        <w:r>
          <w:rPr>
            <w:rStyle w:val="Lienhypertexte"/>
          </w:rPr>
          <w:t>https://www.humanconnectome.org/study/hcp-young-adult</w:t>
        </w:r>
      </w:hyperlink>
      <w:r>
        <w:rPr>
          <w:lang w:eastAsia="fr-FR"/>
        </w:rPr>
        <w:t>.</w:t>
      </w:r>
    </w:p>
    <w:p w14:paraId="33C00929" w14:textId="77777777" w:rsidR="00264CFB" w:rsidRDefault="00923798">
      <w:pPr>
        <w:pStyle w:val="Paragraphedeliste"/>
        <w:numPr>
          <w:ilvl w:val="0"/>
          <w:numId w:val="3"/>
        </w:numPr>
        <w:tabs>
          <w:tab w:val="left" w:pos="1985"/>
        </w:tabs>
        <w:jc w:val="both"/>
        <w:rPr>
          <w:lang w:eastAsia="fr-FR"/>
        </w:rPr>
      </w:pPr>
      <w:r>
        <w:rPr>
          <w:lang w:eastAsia="fr-FR"/>
        </w:rPr>
        <w:t xml:space="preserve">UK-BioBank : cohorte UK en population générale en santé publique (~500.000 sujets). IRM et génétique (puce et séquençage) - </w:t>
      </w:r>
      <w:hyperlink r:id="rId10" w:history="1">
        <w:r>
          <w:rPr>
            <w:rStyle w:val="Lienhypertexte"/>
          </w:rPr>
          <w:t>https://imaging.ukbiobank.ac.uk/</w:t>
        </w:r>
      </w:hyperlink>
      <w:r>
        <w:t>.</w:t>
      </w:r>
    </w:p>
    <w:p w14:paraId="692C49A7" w14:textId="77777777" w:rsidR="00264CFB" w:rsidRDefault="00923798">
      <w:pPr>
        <w:jc w:val="both"/>
        <w:rPr>
          <w:lang w:eastAsia="fr-FR"/>
        </w:rPr>
      </w:pPr>
      <w:r>
        <w:rPr>
          <w:b/>
          <w:lang w:eastAsia="fr-FR"/>
        </w:rPr>
        <w:t>Cohortes sur pathologies : </w:t>
      </w:r>
    </w:p>
    <w:p w14:paraId="63126AC0" w14:textId="77777777" w:rsidR="00264CFB" w:rsidRDefault="00923798">
      <w:pPr>
        <w:pStyle w:val="Paragraphedeliste"/>
        <w:numPr>
          <w:ilvl w:val="0"/>
          <w:numId w:val="4"/>
        </w:numPr>
        <w:jc w:val="both"/>
        <w:rPr>
          <w:lang w:eastAsia="fr-FR"/>
        </w:rPr>
      </w:pPr>
      <w:r>
        <w:rPr>
          <w:lang w:eastAsia="fr-FR"/>
        </w:rPr>
        <w:t xml:space="preserve">BIOMEDE: Cohorte sur les tumeurs pédiatrique de la ligne médiane  - </w:t>
      </w:r>
      <w:hyperlink r:id="rId11" w:history="1">
        <w:r>
          <w:rPr>
            <w:rStyle w:val="Lienhypertexte"/>
          </w:rPr>
          <w:t>https://www.gustaveroussy.fr/fr/biomede</w:t>
        </w:r>
      </w:hyperlink>
      <w:r>
        <w:rPr>
          <w:lang w:eastAsia="fr-FR"/>
        </w:rPr>
        <w:t>.</w:t>
      </w:r>
    </w:p>
    <w:p w14:paraId="549634D8" w14:textId="77777777" w:rsidR="00264CFB" w:rsidRDefault="00923798">
      <w:pPr>
        <w:pStyle w:val="Paragraphedeliste"/>
        <w:numPr>
          <w:ilvl w:val="0"/>
          <w:numId w:val="4"/>
        </w:numPr>
        <w:jc w:val="both"/>
        <w:rPr>
          <w:lang w:eastAsia="fr-FR"/>
        </w:rPr>
      </w:pPr>
      <w:r>
        <w:rPr>
          <w:lang w:eastAsia="fr-FR"/>
        </w:rPr>
        <w:t xml:space="preserve">LPSNC : Cohorte sur les lymphome primaires du système nerveux central- </w:t>
      </w:r>
      <w:hyperlink r:id="rId12" w:history="1">
        <w:r>
          <w:rPr>
            <w:rStyle w:val="Lienhypertexte"/>
          </w:rPr>
          <w:t>https://www.reseauloc.org/lymphome-cerebral-primitif</w:t>
        </w:r>
      </w:hyperlink>
      <w:r>
        <w:rPr>
          <w:lang w:eastAsia="fr-FR"/>
        </w:rPr>
        <w:t>.</w:t>
      </w:r>
    </w:p>
    <w:p w14:paraId="21762E4B" w14:textId="77777777" w:rsidR="00264CFB" w:rsidRDefault="00923798">
      <w:pPr>
        <w:pStyle w:val="Paragraphedeliste"/>
        <w:numPr>
          <w:ilvl w:val="0"/>
          <w:numId w:val="4"/>
        </w:numPr>
        <w:jc w:val="both"/>
        <w:rPr>
          <w:lang w:eastAsia="fr-FR"/>
        </w:rPr>
      </w:pPr>
      <w:r>
        <w:rPr>
          <w:lang w:eastAsia="fr-FR"/>
        </w:rPr>
        <w:t>SENIOR : Cohorte d’étude du vieillissement (NeuroSpin).</w:t>
      </w:r>
    </w:p>
    <w:p w14:paraId="4DDAB555" w14:textId="77777777" w:rsidR="00264CFB" w:rsidRDefault="00264CFB">
      <w:pPr>
        <w:jc w:val="both"/>
        <w:rPr>
          <w:rFonts w:ascii="Tahoma" w:hAnsi="Tahoma" w:cs="Tahoma"/>
          <w:color w:val="565863"/>
          <w:sz w:val="21"/>
          <w:szCs w:val="21"/>
          <w:lang w:eastAsia="fr-FR"/>
        </w:rPr>
      </w:pPr>
    </w:p>
    <w:p w14:paraId="5A6B5FA9" w14:textId="77777777" w:rsidR="00264CFB" w:rsidRDefault="00923798">
      <w:pPr>
        <w:jc w:val="both"/>
        <w:rPr>
          <w:lang w:eastAsia="fr-FR"/>
        </w:rPr>
      </w:pPr>
      <w:r>
        <w:rPr>
          <w:lang w:eastAsia="fr-FR"/>
        </w:rPr>
        <w:t>A des fins d’annotation des données, nous accédons aussi à des ressources de référence comme AllenBrain, TCGA, GTEx, EGA. Ces ressources contiennent des mesures dont l’acquisition n’est pas transposable pour des cohortes (par exemple les tissus biologiques).</w:t>
      </w:r>
    </w:p>
    <w:p w14:paraId="474F1CC1" w14:textId="77777777" w:rsidR="00264CFB" w:rsidRDefault="00264CFB">
      <w:pPr>
        <w:jc w:val="both"/>
        <w:rPr>
          <w:rFonts w:ascii="Tahoma" w:hAnsi="Tahoma" w:cs="Tahoma"/>
          <w:color w:val="565863"/>
          <w:sz w:val="21"/>
          <w:szCs w:val="21"/>
          <w:lang w:eastAsia="fr-FR"/>
        </w:rPr>
      </w:pPr>
    </w:p>
    <w:p w14:paraId="410EE7B0" w14:textId="77777777" w:rsidR="00264CFB" w:rsidRDefault="00923798">
      <w:pPr>
        <w:pStyle w:val="Titre2"/>
        <w:jc w:val="both"/>
      </w:pPr>
      <w:r>
        <w:t>Méthodes</w:t>
      </w:r>
    </w:p>
    <w:p w14:paraId="73DB2107" w14:textId="77777777" w:rsidR="00264CFB" w:rsidRDefault="00923798">
      <w:pPr>
        <w:jc w:val="both"/>
      </w:pPr>
      <w:r>
        <w:t xml:space="preserve">Ces données relativement peu fournies en échantillons (n ~ 1K à 100K) au regard des tailles en big data actuel, sont échantillonnées dans des espaces de très grandes dimensions (plusieurs blocs de données avec p ~ 100K à 1.000K) très atypiques. La production et l’exploitation scientifique des phénotypes </w:t>
      </w:r>
      <w:r>
        <w:lastRenderedPageBreak/>
        <w:t xml:space="preserve">riches sont aujourd’hui réalisées par des analyses multivariées que permettent les outils du machine learning classiques partant des caractéristiques extraites </w:t>
      </w:r>
      <w:r>
        <w:rPr>
          <w:i/>
        </w:rPr>
        <w:t>a priori</w:t>
      </w:r>
      <w:r>
        <w:t xml:space="preserve"> des images ou de la génomique : entraînement de classifieur, méthodes de clustering avec des pénalisations permettant de régulariser les problèmes.</w:t>
      </w:r>
    </w:p>
    <w:p w14:paraId="388EFE6F" w14:textId="77777777" w:rsidR="00264CFB" w:rsidRDefault="00923798">
      <w:pPr>
        <w:jc w:val="both"/>
      </w:pPr>
      <w:r>
        <w:rPr>
          <w:u w:val="single"/>
        </w:rPr>
        <w:t>Structure de corrélation décrites par des graphes.</w:t>
      </w:r>
      <w:r>
        <w:t xml:space="preserve"> Les travaux méthodologiques avancés en cours concernent la prise en compte de la structure de corrélation particulière à l’intérieur de chacun des blocs (modalités) de données qui constituent les cohortes. En plus de la parcimonie, les méthodes d’apprentissage sont dotées de pénalités structurées à même de rendre compte par exemple de l’organisation 3D des tissus corticaux ou du déséquilibre de liaison sur le génome. Des formes générales de structure de corrélation décrites sous forme de graphes sont aujourd’hui prises en compte.</w:t>
      </w:r>
    </w:p>
    <w:p w14:paraId="60C3A996" w14:textId="0E54870D" w:rsidR="00264CFB" w:rsidRDefault="00923798">
      <w:pPr>
        <w:jc w:val="both"/>
      </w:pPr>
      <w:r>
        <w:rPr>
          <w:u w:val="single"/>
        </w:rPr>
        <w:t>Intégration de données décrites par des graphes.</w:t>
      </w:r>
      <w:r>
        <w:t xml:space="preserve"> Un second front méthodologique concerne l’intégration des multiples blocs (modalités) de données. Des formes généralisées de l’analyse canonique des corrélations permettent de trouver des jeux de variables latentes (patterns d’images, pattern d’expression) résumant l’information des blocs et qui sont corrélés entre eux. Une forte attente existe concernant les méthodes modélisant des interactions riches entre les blocs de données. C’est le cas lorsqu’on désire intégrer un bloc d’IMRf de reposavec un bloc de connectivité structurelle qui se présente sous forme d'un graphe. C’est aussi le cas pour des blocs de données de co-expression des gènes.</w:t>
      </w:r>
    </w:p>
    <w:p w14:paraId="4D4DC159" w14:textId="7C058F5A" w:rsidR="00264CFB" w:rsidRDefault="00923798">
      <w:pPr>
        <w:jc w:val="both"/>
      </w:pPr>
      <w:r>
        <w:rPr>
          <w:u w:val="single"/>
        </w:rPr>
        <w:t>Le vivant comme réseau d’entités biologiques.</w:t>
      </w:r>
      <w:r>
        <w:t xml:space="preserve"> La biologie moléculaire et cellulaire, les sciences médicales établissent que le domaine du vivant est fondé sur des niveaux d’organisation eux-mêmes composés de réseaux d’interaction fortement résilients entre entités propres à un niveau. Sans vouloir modéliser l’ensemble de cette organisation, il est nécessaire cependant d’envisager de modéliser au moins partiellement les réseaux d’un niveau et leur variabilité : par exemple le réseau de co-expression des gènes propres à un tissu ou encore le réseau des aires du cerveau impliquées dans un traitement. Les cohortes généralistes pourraient permettre d’apprendre de tels réseaux (ou au moins certaines de leur caractéristiques). Ces réseaux pourraient ensuite être comparés à ceux construits (ou prolongés) à partir de cohortes de patients afin de déterminer les interactions impliquées dans une pathologie.</w:t>
      </w:r>
    </w:p>
    <w:p w14:paraId="3AFF55B7" w14:textId="072B094D" w:rsidR="00264CFB" w:rsidRDefault="00315172">
      <w:pPr>
        <w:jc w:val="both"/>
      </w:pPr>
      <w:r>
        <w:t>L’intelligence artificielle</w:t>
      </w:r>
      <w:r w:rsidR="00923798">
        <w:t xml:space="preserve"> et plus particulièrement l'apprentissage profond a récemment donné lieu à des améliorations importantes dans de nombreuses applications. Cela s’explique en partie par l’arrivée de dispositifs de calculs </w:t>
      </w:r>
      <w:r w:rsidR="00415AA6">
        <w:t>dédiés (</w:t>
      </w:r>
      <w:r w:rsidR="00923798">
        <w:t xml:space="preserve">les GPUs), la disponibilité de grandes quantités de données pour l’apprentissage, et aussi l’efficacité de la phase d’apprentissage pour extraire les représentations latentes dans des </w:t>
      </w:r>
      <w:r w:rsidR="0010723E">
        <w:t>données (</w:t>
      </w:r>
      <w:r w:rsidR="00923798">
        <w:t xml:space="preserve">Convolutional NN). </w:t>
      </w:r>
      <w:r w:rsidR="003B02EC">
        <w:t>Dans la</w:t>
      </w:r>
      <w:r w:rsidR="00923798">
        <w:t xml:space="preserve"> résurgence des réseaux de neurones, un nombre croissant d’applications cherchent à intégrer des contraintes de graphes permettant à la fois de modéliser les données mais également certains processus biologiques. La description et les propriété</w:t>
      </w:r>
      <w:r w:rsidR="003B6AAF">
        <w:t>s de ces réseaux particuliers (G</w:t>
      </w:r>
      <w:r w:rsidR="00923798">
        <w:t>raphical neural networks) ainsi que les cadres de leur entraînement</w:t>
      </w:r>
      <w:r w:rsidR="003B02EC">
        <w:t xml:space="preserve"> </w:t>
      </w:r>
      <w:r w:rsidR="00923798">
        <w:t xml:space="preserve">commencent à être normalisées </w:t>
      </w:r>
      <w:r w:rsidR="00923798">
        <w:fldChar w:fldCharType="begin"/>
      </w:r>
      <w:r w:rsidR="00923798">
        <w:instrText>ADDIN CSL_CITATION {"citationItems":[{"id":"ITEM-1","itemData":{"DOI":"10.1109/tnnls.2020.2978386","ISSN":"2162-237X","abstract":"Deep learning has revolutionized many machine learning tasks in recent years, ranging from image classification and video processing to speech recognition and natural language understanding. The data in these tasks are typically represented in the Euclidean space. However, there is an increasing number of applications where data are generated from non-Euclidean domains and are represented as graphs with complex relationships and interdependency between objects. The complexity of graph data has imposed significant challenges on existing machine learning algorithms. Recently, many studies on extending deep learning approaches for graph data have emerged. In this survey, we provide a comprehensive overview of graph neural networks (GNNs) in data mining and machine learning fields. We propose a new taxonomy to divide the state-of-the-art graph neural networks into four categories, namely recurrent graph neural networks, convolutional graph neural networks, graph autoencoders, and spatial-temporal graph neural networks. We further discuss the applications of graph neural networks across various domains and summarize the open source codes, benchmark data sets, and model evaluation of graph neural networks. Finally, we propose potential research directions in this rapidly growing field.","author":[{"dropping-particle":"","family":"Wu","given":"Zonghan","non-dropping-particle":"","parse-names":false,"suffix":""},{"dropping-particle":"","family":"Pan","given":"Shirui","non-dropping-particle":"","parse-names":false,"suffix":""},{"dropping-particle":"","family":"Chen","given":"Fengwen","non-dropping-particle":"","parse-names":false,"suffix":""},{"dropping-particle":"","family":"Long","given":"Guodong","non-dropping-particle":"","parse-names":false,"suffix":""},{"dropping-particle":"","family":"Zhang","given":"Chengqi","non-dropping-particle":"","parse-names":false,"suffix":""},{"dropping-particle":"","family":"Yu","given":"Philip S.","non-dropping-particle":"","parse-names":false,"suffix":""}],"container-title":"IEEE Transactions on Neural Networks and Learning Systems","id":"ITEM-1","issued":{"date-parts":[["2020","3","24"]]},"page":"1-21","publisher":"Institute of Electrical and Electronics Engineers (IEEE)","title":"A Comprehensive Survey on Graph Neural Networks","type":"article-journal"},"uris":["http://www.mendeley.com/documents/?uuid=0407e581-815e-309f-8db8-4ff10b2bfbe6"]}],"mendeley":{"formattedCitation":"(Wu et al., 2020)","plainTextFormattedCitation":"(Wu et al., 2020)","previouslyFormattedCitation":"(Wu et al., 2020)"},"properties":{"noteIndex":0},"schema":"https://github.com/citation-style-language/schema/raw/master/csl-citation.json"}</w:instrText>
      </w:r>
      <w:r w:rsidR="00923798">
        <w:fldChar w:fldCharType="separate"/>
      </w:r>
      <w:r w:rsidR="00923798">
        <w:t>(Wu et al., 2020)</w:t>
      </w:r>
      <w:r w:rsidR="00923798">
        <w:fldChar w:fldCharType="end"/>
      </w:r>
      <w:r w:rsidR="00923798">
        <w:t xml:space="preserve">. </w:t>
      </w:r>
    </w:p>
    <w:p w14:paraId="708813E9" w14:textId="3864E290" w:rsidR="00264CFB" w:rsidRDefault="00923798">
      <w:pPr>
        <w:jc w:val="both"/>
      </w:pPr>
      <w:r>
        <w:t xml:space="preserve">La capacité naturelle des </w:t>
      </w:r>
      <w:r w:rsidR="003B02EC">
        <w:t>réseaux de</w:t>
      </w:r>
      <w:r>
        <w:t xml:space="preserve"> neurones basés graphes à apprendre des schémas biologiques dans les données nous engage à proposer ce travail de thèse. Malgré la difficulté que représente le nombre « restreint » d’échantillons dans une cohorte (y compris pour les plus ambitieuses disponibles à ce jour</w:t>
      </w:r>
      <w:r w:rsidR="003B02EC">
        <w:t xml:space="preserve"> </w:t>
      </w:r>
      <w:r>
        <w:t>que nous accédons), nous pensons que ces outils présentent une opportunité pour apprendre des biomarqueurs plus performants, voire complètement novateurs.</w:t>
      </w:r>
    </w:p>
    <w:p w14:paraId="2F70C7F5" w14:textId="77777777" w:rsidR="00264CFB" w:rsidRDefault="00923798">
      <w:pPr>
        <w:jc w:val="both"/>
      </w:pPr>
      <w:r>
        <w:t>Les travaux méthodologiques concerneront des outils d’analyse comme :</w:t>
      </w:r>
    </w:p>
    <w:p w14:paraId="14B3D4A7" w14:textId="77777777" w:rsidR="00264CFB" w:rsidRDefault="00923798">
      <w:pPr>
        <w:pStyle w:val="Paragraphedeliste"/>
        <w:numPr>
          <w:ilvl w:val="0"/>
          <w:numId w:val="5"/>
        </w:numPr>
        <w:jc w:val="both"/>
      </w:pPr>
      <w:r>
        <w:t>la reconstruction de matrice de connectivité anatomique à partir de données de diffusion,</w:t>
      </w:r>
    </w:p>
    <w:p w14:paraId="51F1CB8E" w14:textId="655ADE77" w:rsidR="00264CFB" w:rsidRDefault="00923798">
      <w:pPr>
        <w:pStyle w:val="Paragraphedeliste"/>
        <w:numPr>
          <w:ilvl w:val="0"/>
          <w:numId w:val="5"/>
        </w:numPr>
        <w:jc w:val="both"/>
      </w:pPr>
      <w:r>
        <w:lastRenderedPageBreak/>
        <w:t>l’intégration des données IRMf de repos avec des matrices de connectivité fonctionnelles,</w:t>
      </w:r>
    </w:p>
    <w:p w14:paraId="441AEBF7" w14:textId="77777777" w:rsidR="00264CFB" w:rsidRDefault="00923798">
      <w:pPr>
        <w:pStyle w:val="Paragraphedeliste"/>
        <w:numPr>
          <w:ilvl w:val="0"/>
          <w:numId w:val="5"/>
        </w:numPr>
        <w:jc w:val="both"/>
      </w:pPr>
      <w:r>
        <w:t xml:space="preserve">l’extraction de caractéristiques d’intérêt comme l’épaisseur cortical, l’indice de gyrification, </w:t>
      </w:r>
    </w:p>
    <w:p w14:paraId="57DB335A" w14:textId="77777777" w:rsidR="00264CFB" w:rsidRDefault="00923798">
      <w:pPr>
        <w:pStyle w:val="Paragraphedeliste"/>
        <w:numPr>
          <w:ilvl w:val="0"/>
          <w:numId w:val="5"/>
        </w:numPr>
        <w:jc w:val="both"/>
      </w:pPr>
      <w:r>
        <w:t>....</w:t>
      </w:r>
    </w:p>
    <w:p w14:paraId="3BC804F5" w14:textId="6A15566A" w:rsidR="00264CFB" w:rsidRDefault="00923798">
      <w:pPr>
        <w:jc w:val="both"/>
        <w:rPr>
          <w:rFonts w:ascii="Tahoma" w:hAnsi="Tahoma" w:cs="Tahoma"/>
          <w:color w:val="565863"/>
          <w:sz w:val="21"/>
          <w:szCs w:val="21"/>
          <w:lang w:eastAsia="fr-FR"/>
        </w:rPr>
      </w:pPr>
      <w:r>
        <w:t>D’autre travaux méthodologiques pourront viser des applications cliniques comme la stratification des individus d'une population.</w:t>
      </w:r>
    </w:p>
    <w:p w14:paraId="0372F184" w14:textId="77777777" w:rsidR="00264CFB" w:rsidRDefault="00923798">
      <w:pPr>
        <w:pStyle w:val="Titre2"/>
        <w:jc w:val="both"/>
      </w:pPr>
      <w:r>
        <w:t>Résultats attendus</w:t>
      </w:r>
    </w:p>
    <w:p w14:paraId="6BA80581" w14:textId="77777777" w:rsidR="00264CFB" w:rsidRDefault="00923798">
      <w:pPr>
        <w:jc w:val="both"/>
        <w:rPr>
          <w:lang w:eastAsia="fr-FR"/>
        </w:rPr>
      </w:pPr>
      <w:r>
        <w:rPr>
          <w:lang w:eastAsia="fr-FR"/>
        </w:rPr>
        <w:t>Adapter les outils des réseaux neurones basés graphes pour l’analyse des cohortes de population multi-modales et multi-omiques.</w:t>
      </w:r>
    </w:p>
    <w:p w14:paraId="27E81AAE" w14:textId="23882530" w:rsidR="00264CFB" w:rsidRDefault="00923798">
      <w:pPr>
        <w:jc w:val="both"/>
        <w:rPr>
          <w:lang w:eastAsia="fr-FR"/>
        </w:rPr>
      </w:pPr>
      <w:r>
        <w:rPr>
          <w:lang w:eastAsia="fr-FR"/>
        </w:rPr>
        <w:t xml:space="preserve">Produire des exemples de construction de phénotypes à support graphique pour la classification ou la stratification dans </w:t>
      </w:r>
      <w:r w:rsidR="00F74F4F">
        <w:rPr>
          <w:lang w:eastAsia="fr-FR"/>
        </w:rPr>
        <w:t>des cohortes</w:t>
      </w:r>
      <w:r>
        <w:rPr>
          <w:lang w:eastAsia="fr-FR"/>
        </w:rPr>
        <w:t xml:space="preserve"> médicales.</w:t>
      </w:r>
    </w:p>
    <w:p w14:paraId="0E543F95" w14:textId="77777777" w:rsidR="00264CFB" w:rsidRDefault="00923798">
      <w:pPr>
        <w:pStyle w:val="Titre2"/>
        <w:jc w:val="both"/>
      </w:pPr>
      <w:r>
        <w:t>Précision sur l'encadrement</w:t>
      </w:r>
    </w:p>
    <w:p w14:paraId="5117FDB6" w14:textId="77777777" w:rsidR="00264CFB" w:rsidRDefault="00923798" w:rsidP="00F74F4F">
      <w:pPr>
        <w:jc w:val="both"/>
        <w:rPr>
          <w:lang w:eastAsia="fr-FR"/>
        </w:rPr>
      </w:pPr>
      <w:r>
        <w:rPr>
          <w:lang w:eastAsia="fr-FR"/>
        </w:rPr>
        <w:t>L’encadrement est assuré par V. Frouin (HdR) plus particulièrement pour la partie intégration de données imagerie-génétique et A. Grigis plus particulièrement pour la partie intelligence artificielle.</w:t>
      </w:r>
    </w:p>
    <w:p w14:paraId="206D0D01" w14:textId="77777777" w:rsidR="00264CFB" w:rsidRDefault="00923798" w:rsidP="00F74F4F">
      <w:pPr>
        <w:jc w:val="both"/>
        <w:rPr>
          <w:lang w:eastAsia="fr-FR"/>
        </w:rPr>
      </w:pPr>
      <w:r>
        <w:rPr>
          <w:lang w:eastAsia="fr-FR"/>
        </w:rPr>
        <w:t>Le doctorant est accueilli au sein du laboratoire GAIA de Neurospin. Le travail du doctorant est suivi lors de réunions hebdomadaires avec le directeur de thèse et les encadrants. Le doctorant effectue des présentations lors des réunions de laboratoire. Un</w:t>
      </w:r>
      <w:r>
        <w:rPr>
          <w:shd w:val="clear" w:color="auto" w:fill="FFFFFF"/>
        </w:rPr>
        <w:t xml:space="preserve"> Comité de suivi de thèse sera établi.</w:t>
      </w:r>
    </w:p>
    <w:p w14:paraId="1298A9B2" w14:textId="77777777" w:rsidR="00264CFB" w:rsidRDefault="00923798">
      <w:pPr>
        <w:pStyle w:val="Titre2"/>
        <w:jc w:val="both"/>
      </w:pPr>
      <w:r>
        <w:t>Conditions scientifiques du projet de recherche</w:t>
      </w:r>
    </w:p>
    <w:p w14:paraId="05B2CC56" w14:textId="77777777" w:rsidR="00264CFB" w:rsidRDefault="00923798">
      <w:pPr>
        <w:jc w:val="both"/>
        <w:rPr>
          <w:lang w:eastAsia="fr-FR"/>
        </w:rPr>
      </w:pPr>
      <w:r>
        <w:rPr>
          <w:lang w:eastAsia="fr-FR"/>
        </w:rPr>
        <w:t>Le thésard accède les moyens de calcul et les cohortes décrites dans le projet et participe aux conférences du domaine scientifique.</w:t>
      </w:r>
    </w:p>
    <w:p w14:paraId="3755BB56" w14:textId="77777777" w:rsidR="00264CFB" w:rsidRDefault="00923798">
      <w:pPr>
        <w:pStyle w:val="Titre2"/>
        <w:jc w:val="both"/>
      </w:pPr>
      <w:r>
        <w:t>Objectifs de valorisation des travaux de recherche</w:t>
      </w:r>
    </w:p>
    <w:p w14:paraId="6F009FA4" w14:textId="77777777" w:rsidR="00264CFB" w:rsidRDefault="00923798">
      <w:pPr>
        <w:jc w:val="both"/>
        <w:rPr>
          <w:b/>
          <w:bCs/>
          <w:sz w:val="27"/>
          <w:szCs w:val="27"/>
          <w:shd w:val="clear" w:color="auto" w:fill="FFFFFF"/>
        </w:rPr>
      </w:pPr>
      <w:r>
        <w:rPr>
          <w:sz w:val="21"/>
          <w:szCs w:val="21"/>
          <w:shd w:val="clear" w:color="auto" w:fill="FFFFFF"/>
        </w:rPr>
        <w:t>Diffusion par communications orales et écrites dans des congrès nationaux et internationaux dans le domaine de l’imagerie, de la bioinformatique (génétique et génomique fonctionnelle) et des neurosciences cliniques. Publications dans des revues internationales.</w:t>
      </w:r>
    </w:p>
    <w:p w14:paraId="05F948C6" w14:textId="77777777" w:rsidR="00264CFB" w:rsidRDefault="00923798">
      <w:pPr>
        <w:pStyle w:val="Titre2"/>
        <w:jc w:val="both"/>
      </w:pPr>
      <w:r>
        <w:t>Collaborations envisagées</w:t>
      </w:r>
    </w:p>
    <w:p w14:paraId="47698083" w14:textId="77777777" w:rsidR="00264CFB" w:rsidRDefault="00923798">
      <w:pPr>
        <w:jc w:val="both"/>
        <w:rPr>
          <w:lang w:eastAsia="fr-FR"/>
        </w:rPr>
      </w:pPr>
      <w:r>
        <w:rPr>
          <w:lang w:eastAsia="fr-FR"/>
        </w:rPr>
        <w:t>Collaboration avec :</w:t>
      </w:r>
    </w:p>
    <w:p w14:paraId="3573FE5A" w14:textId="77777777" w:rsidR="00264CFB" w:rsidRDefault="00923798">
      <w:pPr>
        <w:pStyle w:val="Paragraphedeliste"/>
        <w:numPr>
          <w:ilvl w:val="0"/>
          <w:numId w:val="8"/>
        </w:numPr>
        <w:spacing w:after="0"/>
      </w:pPr>
      <w:r>
        <w:t>J.F. Mangin (NeuroSpin) pour les études sur maladies neuro-degénératives.</w:t>
      </w:r>
    </w:p>
    <w:p w14:paraId="3DF19797" w14:textId="77777777" w:rsidR="00264CFB" w:rsidRDefault="00923798">
      <w:pPr>
        <w:pStyle w:val="Paragraphedeliste"/>
        <w:numPr>
          <w:ilvl w:val="0"/>
          <w:numId w:val="8"/>
        </w:numPr>
        <w:spacing w:after="0"/>
      </w:pPr>
      <w:r>
        <w:t>S. Jamain (IMRB, INSERM U955 Hôp. Mondor)pour les études impliquant la génétique.</w:t>
      </w:r>
    </w:p>
    <w:p w14:paraId="78514DF9" w14:textId="77777777" w:rsidR="00264CFB" w:rsidRDefault="00923798">
      <w:pPr>
        <w:pStyle w:val="Paragraphedeliste"/>
        <w:numPr>
          <w:ilvl w:val="0"/>
          <w:numId w:val="8"/>
        </w:numPr>
        <w:spacing w:after="0"/>
      </w:pPr>
      <w:r>
        <w:t>Alentorn (MD Hôp Pitié-Salpêtrière) pour les études  en neuro-oncologie.</w:t>
      </w:r>
    </w:p>
    <w:p w14:paraId="62294CA8" w14:textId="77777777" w:rsidR="00264CFB" w:rsidRDefault="00923798">
      <w:pPr>
        <w:pStyle w:val="Paragraphedeliste"/>
        <w:numPr>
          <w:ilvl w:val="0"/>
          <w:numId w:val="8"/>
        </w:numPr>
        <w:spacing w:after="0"/>
      </w:pPr>
      <w:r>
        <w:t>J. Grill (MD Hôp Gustave-Roussy) pour les études  en neuro-oncologie.</w:t>
      </w:r>
    </w:p>
    <w:p w14:paraId="656EA4F7" w14:textId="77777777" w:rsidR="00264CFB" w:rsidRDefault="00923798">
      <w:pPr>
        <w:pStyle w:val="Paragraphedeliste"/>
        <w:numPr>
          <w:ilvl w:val="0"/>
          <w:numId w:val="8"/>
        </w:numPr>
        <w:spacing w:after="0"/>
      </w:pPr>
      <w:r>
        <w:t>J. Houenou (NeruoSpin, Hôp. Mondor) pour les études en psychiatriques.</w:t>
      </w:r>
    </w:p>
    <w:p w14:paraId="60BB9310" w14:textId="77777777" w:rsidR="00264CFB" w:rsidRDefault="00264CFB">
      <w:pPr>
        <w:jc w:val="both"/>
        <w:rPr>
          <w:lang w:eastAsia="fr-FR"/>
        </w:rPr>
      </w:pPr>
    </w:p>
    <w:p w14:paraId="1705A5E8" w14:textId="77777777" w:rsidR="00264CFB" w:rsidRDefault="00923798">
      <w:pPr>
        <w:pStyle w:val="Titre2"/>
        <w:jc w:val="both"/>
      </w:pPr>
      <w:r>
        <w:t>Ouverture Internationale</w:t>
      </w:r>
    </w:p>
    <w:p w14:paraId="4EBA67A2" w14:textId="77777777" w:rsidR="00264CFB" w:rsidRDefault="00923798">
      <w:pPr>
        <w:jc w:val="both"/>
      </w:pPr>
      <w:r>
        <w:lastRenderedPageBreak/>
        <w:t>Participation aux projets internationaux du groupe, en particulier l’étude de la cohorte LEAP du projet AIMS2-TRIAL sur l’autisme.</w:t>
      </w:r>
    </w:p>
    <w:p w14:paraId="60268E16" w14:textId="77777777" w:rsidR="00264CFB" w:rsidRDefault="00923798">
      <w:pPr>
        <w:pStyle w:val="Titre2"/>
        <w:jc w:val="both"/>
      </w:pPr>
      <w:r>
        <w:t>Références bibliographiques</w:t>
      </w:r>
    </w:p>
    <w:p w14:paraId="4225D2D6" w14:textId="77777777" w:rsidR="00264CFB" w:rsidRDefault="00923798">
      <w:pPr>
        <w:pStyle w:val="Paragraphedeliste"/>
        <w:numPr>
          <w:ilvl w:val="0"/>
          <w:numId w:val="10"/>
        </w:numPr>
        <w:rPr>
          <w:b/>
        </w:rPr>
      </w:pPr>
      <w:r>
        <w:rPr>
          <w:b/>
        </w:rPr>
        <w:t xml:space="preserve">celles du groupe </w:t>
      </w:r>
    </w:p>
    <w:p w14:paraId="40162459" w14:textId="77777777" w:rsidR="00264CFB" w:rsidRPr="00210C7F" w:rsidRDefault="00923798">
      <w:pPr>
        <w:widowControl w:val="0"/>
        <w:spacing w:before="100" w:after="100" w:line="240" w:lineRule="auto"/>
        <w:ind w:left="480" w:hanging="480"/>
        <w:rPr>
          <w:rFonts w:ascii="Times New Roman" w:hAnsi="Times New Roman" w:cs="Times New Roman"/>
          <w:sz w:val="24"/>
          <w:szCs w:val="24"/>
          <w:lang w:val="en-US"/>
        </w:rPr>
      </w:pPr>
      <w:r>
        <w:rPr>
          <w:sz w:val="24"/>
          <w:szCs w:val="24"/>
        </w:rPr>
        <w:fldChar w:fldCharType="begin"/>
      </w:r>
      <w:r>
        <w:rPr>
          <w:sz w:val="24"/>
          <w:szCs w:val="24"/>
        </w:rPr>
        <w:instrText xml:space="preserve">ADDIN Mendeley Bibliography CSL_BIBLIOGRAPHY </w:instrText>
      </w:r>
      <w:r>
        <w:rPr>
          <w:sz w:val="24"/>
          <w:szCs w:val="24"/>
        </w:rPr>
        <w:fldChar w:fldCharType="separate"/>
      </w:r>
      <w:r>
        <w:rPr>
          <w:rFonts w:ascii="Times New Roman" w:hAnsi="Times New Roman" w:cs="Times New Roman"/>
          <w:sz w:val="24"/>
          <w:szCs w:val="24"/>
        </w:rPr>
        <w:t xml:space="preserve">Guigui, N., Philippe, C., Gloaguen, A., Karkar, S., Guillemot, V., Löfstedt, T., &amp; Frouin, V. (2019). </w:t>
      </w:r>
      <w:r w:rsidRPr="00210C7F">
        <w:rPr>
          <w:rFonts w:ascii="Times New Roman" w:hAnsi="Times New Roman" w:cs="Times New Roman"/>
          <w:sz w:val="24"/>
          <w:szCs w:val="24"/>
          <w:lang w:val="en-US"/>
        </w:rPr>
        <w:t xml:space="preserve">Network regularization in imaging genetics improves prediction performances and model interpretability on Alzheimers’s disease. In </w:t>
      </w:r>
      <w:r w:rsidRPr="00210C7F">
        <w:rPr>
          <w:rFonts w:ascii="Times New Roman" w:hAnsi="Times New Roman" w:cs="Times New Roman"/>
          <w:i/>
          <w:iCs/>
          <w:sz w:val="24"/>
          <w:szCs w:val="24"/>
          <w:lang w:val="en-US"/>
        </w:rPr>
        <w:t>ISBI 2019 - Proceedings of the IEEE International Symposium on Biomedical Imaging</w:t>
      </w:r>
      <w:r w:rsidRPr="00210C7F">
        <w:rPr>
          <w:rFonts w:ascii="Times New Roman" w:hAnsi="Times New Roman" w:cs="Times New Roman"/>
          <w:sz w:val="24"/>
          <w:szCs w:val="24"/>
          <w:lang w:val="en-US"/>
        </w:rPr>
        <w:t>. Venice, Italy. Retrieved from https://hal-cea.archives-ouvertes.fr/cea-02016625</w:t>
      </w:r>
    </w:p>
    <w:p w14:paraId="2C7D448C" w14:textId="77777777" w:rsidR="00264CFB" w:rsidRDefault="00923798">
      <w:pPr>
        <w:widowControl w:val="0"/>
        <w:spacing w:before="100" w:after="100"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Le Guen, Y., Leroy, F., Auzias, G., Riviere, D., Grigis, A., Mangin, J.-F. F., … </w:t>
      </w:r>
      <w:r w:rsidRPr="00210C7F">
        <w:rPr>
          <w:rFonts w:ascii="Times New Roman" w:hAnsi="Times New Roman" w:cs="Times New Roman"/>
          <w:sz w:val="24"/>
          <w:szCs w:val="24"/>
          <w:lang w:val="en-US"/>
        </w:rPr>
        <w:t xml:space="preserve">Frouin, V. (2018). The chaotic morphology of the left superior temporal sulcus is genetically constrained. </w:t>
      </w:r>
      <w:r>
        <w:rPr>
          <w:rFonts w:ascii="Times New Roman" w:hAnsi="Times New Roman" w:cs="Times New Roman"/>
          <w:i/>
          <w:iCs/>
          <w:sz w:val="24"/>
          <w:szCs w:val="24"/>
        </w:rPr>
        <w:t>NeuroImage</w:t>
      </w:r>
      <w:r>
        <w:rPr>
          <w:rFonts w:ascii="Times New Roman" w:hAnsi="Times New Roman" w:cs="Times New Roman"/>
          <w:sz w:val="24"/>
          <w:szCs w:val="24"/>
        </w:rPr>
        <w:t xml:space="preserve">, </w:t>
      </w:r>
      <w:r>
        <w:rPr>
          <w:rFonts w:ascii="Times New Roman" w:hAnsi="Times New Roman" w:cs="Times New Roman"/>
          <w:i/>
          <w:iCs/>
          <w:sz w:val="24"/>
          <w:szCs w:val="24"/>
        </w:rPr>
        <w:t>174</w:t>
      </w:r>
      <w:r>
        <w:rPr>
          <w:rFonts w:ascii="Times New Roman" w:hAnsi="Times New Roman" w:cs="Times New Roman"/>
          <w:sz w:val="24"/>
          <w:szCs w:val="24"/>
        </w:rPr>
        <w:t>, 297–307. https://doi.org/10.1016/j.neuroimage.2018.03.046</w:t>
      </w:r>
    </w:p>
    <w:p w14:paraId="5CBB7D02" w14:textId="77777777" w:rsidR="00264CFB" w:rsidRDefault="00923798">
      <w:pPr>
        <w:widowControl w:val="0"/>
        <w:spacing w:before="100" w:after="100" w:line="240" w:lineRule="auto"/>
        <w:ind w:left="480" w:hanging="480"/>
        <w:rPr>
          <w:rFonts w:ascii="Times New Roman" w:hAnsi="Times New Roman" w:cs="Times New Roman"/>
          <w:sz w:val="24"/>
          <w:szCs w:val="24"/>
        </w:rPr>
      </w:pPr>
      <w:r>
        <w:rPr>
          <w:rFonts w:ascii="Times New Roman" w:hAnsi="Times New Roman" w:cs="Times New Roman"/>
          <w:sz w:val="24"/>
          <w:szCs w:val="24"/>
        </w:rPr>
        <w:t xml:space="preserve">Le Guen, Y., Leroy, F., Philippe, C., Consortium, I., Mangin, J.-F., Dehaene-Lambertz, G., &amp; Frouin, V. (2019). </w:t>
      </w:r>
      <w:r w:rsidRPr="00210C7F">
        <w:rPr>
          <w:rFonts w:ascii="Times New Roman" w:hAnsi="Times New Roman" w:cs="Times New Roman"/>
          <w:sz w:val="24"/>
          <w:szCs w:val="24"/>
          <w:lang w:val="en-US"/>
        </w:rPr>
        <w:t xml:space="preserve">A DACT1 enhancer modulates brain asymmetric temporal regions involved in language processing. </w:t>
      </w:r>
      <w:r>
        <w:rPr>
          <w:rFonts w:ascii="Times New Roman" w:hAnsi="Times New Roman" w:cs="Times New Roman"/>
          <w:i/>
          <w:iCs/>
          <w:sz w:val="24"/>
          <w:szCs w:val="24"/>
        </w:rPr>
        <w:t>BioRxiv</w:t>
      </w:r>
      <w:r>
        <w:rPr>
          <w:rFonts w:ascii="Times New Roman" w:hAnsi="Times New Roman" w:cs="Times New Roman"/>
          <w:sz w:val="24"/>
          <w:szCs w:val="24"/>
        </w:rPr>
        <w:t>, 539189. https://doi.org/10.1101/539189</w:t>
      </w:r>
    </w:p>
    <w:p w14:paraId="1FB7A0E0" w14:textId="77777777" w:rsidR="00264CFB" w:rsidRPr="00210C7F" w:rsidRDefault="00923798">
      <w:pPr>
        <w:widowControl w:val="0"/>
        <w:spacing w:before="100" w:after="100" w:line="240" w:lineRule="auto"/>
        <w:ind w:left="480" w:hanging="480"/>
        <w:rPr>
          <w:rFonts w:ascii="Times New Roman" w:hAnsi="Times New Roman" w:cs="Times New Roman"/>
          <w:sz w:val="24"/>
          <w:szCs w:val="24"/>
          <w:lang w:val="en-US"/>
        </w:rPr>
      </w:pPr>
      <w:r>
        <w:rPr>
          <w:rFonts w:ascii="Times New Roman" w:hAnsi="Times New Roman" w:cs="Times New Roman"/>
          <w:sz w:val="24"/>
          <w:szCs w:val="24"/>
        </w:rPr>
        <w:t xml:space="preserve">Luo, Q., Chen, Q., Wang, W., Desrivières, S., Quinlan, E. B., Jia, T., … </w:t>
      </w:r>
      <w:r w:rsidRPr="00210C7F">
        <w:rPr>
          <w:rFonts w:ascii="Times New Roman" w:hAnsi="Times New Roman" w:cs="Times New Roman"/>
          <w:sz w:val="24"/>
          <w:szCs w:val="24"/>
          <w:lang w:val="en-US"/>
        </w:rPr>
        <w:t xml:space="preserve">Feng, J. (2019). Association of a Schizophrenia-Risk Nonsynonymous Variant with Putamen Volume in Adolescents: A Voxelwise and Genome-Wide Association Study. </w:t>
      </w:r>
      <w:r w:rsidRPr="00210C7F">
        <w:rPr>
          <w:rFonts w:ascii="Times New Roman" w:hAnsi="Times New Roman" w:cs="Times New Roman"/>
          <w:i/>
          <w:iCs/>
          <w:sz w:val="24"/>
          <w:szCs w:val="24"/>
          <w:lang w:val="en-US"/>
        </w:rPr>
        <w:t>JAMA Psychiatry</w:t>
      </w:r>
      <w:r w:rsidRPr="00210C7F">
        <w:rPr>
          <w:rFonts w:ascii="Times New Roman" w:hAnsi="Times New Roman" w:cs="Times New Roman"/>
          <w:sz w:val="24"/>
          <w:szCs w:val="24"/>
          <w:lang w:val="en-US"/>
        </w:rPr>
        <w:t xml:space="preserve">, </w:t>
      </w:r>
      <w:r w:rsidRPr="00210C7F">
        <w:rPr>
          <w:rFonts w:ascii="Times New Roman" w:hAnsi="Times New Roman" w:cs="Times New Roman"/>
          <w:i/>
          <w:iCs/>
          <w:sz w:val="24"/>
          <w:szCs w:val="24"/>
          <w:lang w:val="en-US"/>
        </w:rPr>
        <w:t>76</w:t>
      </w:r>
      <w:r w:rsidRPr="00210C7F">
        <w:rPr>
          <w:rFonts w:ascii="Times New Roman" w:hAnsi="Times New Roman" w:cs="Times New Roman"/>
          <w:sz w:val="24"/>
          <w:szCs w:val="24"/>
          <w:lang w:val="en-US"/>
        </w:rPr>
        <w:t>(4), 435–445. https://doi.org/10.1001/jamapsychiatry.2018.4126</w:t>
      </w:r>
    </w:p>
    <w:p w14:paraId="62A38179" w14:textId="77777777" w:rsidR="00264CFB" w:rsidRDefault="00923798">
      <w:pPr>
        <w:widowControl w:val="0"/>
        <w:spacing w:before="100" w:after="100" w:line="240" w:lineRule="auto"/>
        <w:ind w:left="480" w:hanging="480"/>
        <w:rPr>
          <w:rFonts w:ascii="Times New Roman" w:hAnsi="Times New Roman" w:cs="Times New Roman"/>
          <w:sz w:val="24"/>
          <w:szCs w:val="24"/>
        </w:rPr>
      </w:pPr>
      <w:r w:rsidRPr="00210C7F">
        <w:rPr>
          <w:rFonts w:ascii="Times New Roman" w:hAnsi="Times New Roman" w:cs="Times New Roman"/>
          <w:sz w:val="24"/>
          <w:szCs w:val="24"/>
          <w:lang w:val="en-US"/>
        </w:rPr>
        <w:t xml:space="preserve">Moessnang, C., Baumeister, S., Tillmann, J., Goyard, D., Charman, T., Ambrosino, S., … Meyer-Lindenberg, A. (2020). Social brain activation during mentalizing in a large autism cohort: The Longitudinal European Autism Project. </w:t>
      </w:r>
      <w:r>
        <w:rPr>
          <w:rFonts w:ascii="Times New Roman" w:hAnsi="Times New Roman" w:cs="Times New Roman"/>
          <w:i/>
          <w:iCs/>
          <w:sz w:val="24"/>
          <w:szCs w:val="24"/>
        </w:rPr>
        <w:t>Molecular Autism</w:t>
      </w:r>
      <w:r>
        <w:rPr>
          <w:rFonts w:ascii="Times New Roman" w:hAnsi="Times New Roman" w:cs="Times New Roman"/>
          <w:sz w:val="24"/>
          <w:szCs w:val="24"/>
        </w:rPr>
        <w:t xml:space="preserve">, </w:t>
      </w:r>
      <w:r>
        <w:rPr>
          <w:rFonts w:ascii="Times New Roman" w:hAnsi="Times New Roman" w:cs="Times New Roman"/>
          <w:i/>
          <w:iCs/>
          <w:sz w:val="24"/>
          <w:szCs w:val="24"/>
        </w:rPr>
        <w:t>11</w:t>
      </w:r>
      <w:r>
        <w:rPr>
          <w:rFonts w:ascii="Times New Roman" w:hAnsi="Times New Roman" w:cs="Times New Roman"/>
          <w:sz w:val="24"/>
          <w:szCs w:val="24"/>
        </w:rPr>
        <w:t>(1), 17. https://doi.org/10.1186/s13229-020-0317-x</w:t>
      </w:r>
    </w:p>
    <w:p w14:paraId="35AADF77" w14:textId="77777777" w:rsidR="00264CFB" w:rsidRDefault="00264CFB">
      <w:pPr>
        <w:widowControl w:val="0"/>
        <w:spacing w:before="100" w:after="100" w:line="240" w:lineRule="auto"/>
        <w:ind w:left="480" w:hanging="480"/>
        <w:rPr>
          <w:rFonts w:ascii="Times New Roman" w:hAnsi="Times New Roman" w:cs="Times New Roman"/>
          <w:sz w:val="24"/>
          <w:szCs w:val="24"/>
        </w:rPr>
      </w:pPr>
    </w:p>
    <w:p w14:paraId="774BB045" w14:textId="77777777" w:rsidR="00264CFB" w:rsidRDefault="00923798">
      <w:pPr>
        <w:pStyle w:val="Paragraphedeliste"/>
        <w:numPr>
          <w:ilvl w:val="0"/>
          <w:numId w:val="10"/>
        </w:numPr>
        <w:rPr>
          <w:b/>
        </w:rPr>
      </w:pPr>
      <w:r>
        <w:rPr>
          <w:b/>
        </w:rPr>
        <w:t xml:space="preserve">extérieures au groupe </w:t>
      </w:r>
    </w:p>
    <w:p w14:paraId="2DB63151" w14:textId="77777777" w:rsidR="00264CFB" w:rsidRDefault="00264CFB">
      <w:pPr>
        <w:widowControl w:val="0"/>
        <w:spacing w:before="100" w:after="100" w:line="240" w:lineRule="auto"/>
        <w:ind w:left="480" w:hanging="480"/>
        <w:rPr>
          <w:rFonts w:ascii="Times New Roman" w:hAnsi="Times New Roman" w:cs="Times New Roman"/>
          <w:sz w:val="24"/>
          <w:szCs w:val="24"/>
        </w:rPr>
      </w:pPr>
    </w:p>
    <w:p w14:paraId="418EB9C8" w14:textId="77777777" w:rsidR="00264CFB" w:rsidRPr="00210C7F" w:rsidRDefault="00923798">
      <w:pPr>
        <w:widowControl w:val="0"/>
        <w:spacing w:before="100" w:after="100" w:line="240" w:lineRule="auto"/>
        <w:ind w:left="480" w:hanging="480"/>
        <w:rPr>
          <w:rFonts w:ascii="Times New Roman" w:hAnsi="Times New Roman" w:cs="Times New Roman"/>
          <w:sz w:val="24"/>
          <w:lang w:val="en-US"/>
        </w:rPr>
      </w:pPr>
      <w:r w:rsidRPr="00210C7F">
        <w:rPr>
          <w:rFonts w:ascii="Times New Roman" w:hAnsi="Times New Roman" w:cs="Times New Roman"/>
          <w:sz w:val="24"/>
          <w:szCs w:val="24"/>
          <w:lang w:val="en-US"/>
        </w:rPr>
        <w:t xml:space="preserve">Wu, Z., Pan, S., Chen, F., Long, G., Zhang, C., &amp; Yu, P. S. (2020). A Comprehensive Survey on Graph Neural Networks. </w:t>
      </w:r>
      <w:r w:rsidRPr="00210C7F">
        <w:rPr>
          <w:rFonts w:ascii="Times New Roman" w:hAnsi="Times New Roman" w:cs="Times New Roman"/>
          <w:i/>
          <w:iCs/>
          <w:sz w:val="24"/>
          <w:szCs w:val="24"/>
          <w:lang w:val="en-US"/>
        </w:rPr>
        <w:t>IEEE Transactions on Neural Networks and Learning Systems</w:t>
      </w:r>
      <w:r w:rsidRPr="00210C7F">
        <w:rPr>
          <w:rFonts w:ascii="Times New Roman" w:hAnsi="Times New Roman" w:cs="Times New Roman"/>
          <w:sz w:val="24"/>
          <w:szCs w:val="24"/>
          <w:lang w:val="en-US"/>
        </w:rPr>
        <w:t>, 1–21. https://doi.org/10.1109/tnnls.2020.2978386</w:t>
      </w:r>
    </w:p>
    <w:p w14:paraId="1B7A00D4" w14:textId="77777777" w:rsidR="00264CFB" w:rsidRDefault="00923798">
      <w:pPr>
        <w:pStyle w:val="Titre2"/>
        <w:jc w:val="both"/>
        <w:rPr>
          <w:lang w:val="en-US"/>
        </w:rPr>
      </w:pPr>
      <w:r>
        <w:rPr>
          <w:sz w:val="24"/>
          <w:szCs w:val="24"/>
        </w:rPr>
        <w:fldChar w:fldCharType="end"/>
      </w:r>
    </w:p>
    <w:p w14:paraId="327E9052" w14:textId="77777777" w:rsidR="00264CFB" w:rsidRDefault="00264CFB">
      <w:pPr>
        <w:jc w:val="both"/>
        <w:rPr>
          <w:lang w:val="en-US"/>
        </w:rPr>
      </w:pPr>
    </w:p>
    <w:sectPr w:rsidR="00264CFB">
      <w:pgSz w:w="11906" w:h="16838"/>
      <w:pgMar w:top="1417" w:right="1417" w:bottom="1417" w:left="1417"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00000001" w16cid:durableId="94FDE2AB"/>
  <w16cid:commentId w16cid:paraId="00000002" w16cid:durableId="94FBCC90"/>
  <w16cid:commentId w16cid:paraId="00000003" w16cid:durableId="93C099BA"/>
  <w16cid:commentId w16cid:paraId="00000005" w16cid:durableId="97A7898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3DA80" w14:textId="77777777" w:rsidR="00405777" w:rsidRDefault="00405777">
      <w:pPr>
        <w:spacing w:after="0" w:line="240" w:lineRule="auto"/>
      </w:pPr>
      <w:r>
        <w:separator/>
      </w:r>
    </w:p>
  </w:endnote>
  <w:endnote w:type="continuationSeparator" w:id="0">
    <w:p w14:paraId="543BB654" w14:textId="77777777" w:rsidR="00405777" w:rsidRDefault="0040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6DDFA" w14:textId="77777777" w:rsidR="00405777" w:rsidRDefault="00405777">
      <w:pPr>
        <w:spacing w:after="0" w:line="240" w:lineRule="auto"/>
      </w:pPr>
      <w:r>
        <w:separator/>
      </w:r>
    </w:p>
  </w:footnote>
  <w:footnote w:type="continuationSeparator" w:id="0">
    <w:p w14:paraId="1A5928E3" w14:textId="77777777" w:rsidR="00405777" w:rsidRDefault="00405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AF6"/>
    <w:multiLevelType w:val="hybridMultilevel"/>
    <w:tmpl w:val="40C4F962"/>
    <w:lvl w:ilvl="0" w:tplc="A5C04EE8">
      <w:start w:val="1"/>
      <w:numFmt w:val="bullet"/>
      <w:lvlText w:val=""/>
      <w:lvlJc w:val="left"/>
      <w:pPr>
        <w:ind w:left="720" w:hanging="360"/>
      </w:pPr>
      <w:rPr>
        <w:rFonts w:ascii="Symbol" w:hAnsi="Symbol" w:hint="default"/>
      </w:rPr>
    </w:lvl>
    <w:lvl w:ilvl="1" w:tplc="A66C102C">
      <w:start w:val="1"/>
      <w:numFmt w:val="bullet"/>
      <w:lvlText w:val="o"/>
      <w:lvlJc w:val="left"/>
      <w:pPr>
        <w:ind w:left="1440" w:hanging="360"/>
      </w:pPr>
      <w:rPr>
        <w:rFonts w:ascii="Courier New" w:hAnsi="Courier New" w:cs="Courier New" w:hint="default"/>
      </w:rPr>
    </w:lvl>
    <w:lvl w:ilvl="2" w:tplc="B2422FFE">
      <w:start w:val="1"/>
      <w:numFmt w:val="bullet"/>
      <w:lvlText w:val=""/>
      <w:lvlJc w:val="left"/>
      <w:pPr>
        <w:ind w:left="2160" w:hanging="360"/>
      </w:pPr>
      <w:rPr>
        <w:rFonts w:ascii="Wingdings" w:hAnsi="Wingdings" w:hint="default"/>
      </w:rPr>
    </w:lvl>
    <w:lvl w:ilvl="3" w:tplc="82D25C02">
      <w:start w:val="1"/>
      <w:numFmt w:val="bullet"/>
      <w:lvlText w:val=""/>
      <w:lvlJc w:val="left"/>
      <w:pPr>
        <w:ind w:left="2880" w:hanging="360"/>
      </w:pPr>
      <w:rPr>
        <w:rFonts w:ascii="Symbol" w:hAnsi="Symbol" w:hint="default"/>
      </w:rPr>
    </w:lvl>
    <w:lvl w:ilvl="4" w:tplc="4D52D770">
      <w:start w:val="1"/>
      <w:numFmt w:val="bullet"/>
      <w:lvlText w:val="o"/>
      <w:lvlJc w:val="left"/>
      <w:pPr>
        <w:ind w:left="3600" w:hanging="360"/>
      </w:pPr>
      <w:rPr>
        <w:rFonts w:ascii="Courier New" w:hAnsi="Courier New" w:cs="Courier New" w:hint="default"/>
      </w:rPr>
    </w:lvl>
    <w:lvl w:ilvl="5" w:tplc="627C8A22">
      <w:start w:val="1"/>
      <w:numFmt w:val="bullet"/>
      <w:lvlText w:val=""/>
      <w:lvlJc w:val="left"/>
      <w:pPr>
        <w:ind w:left="4320" w:hanging="360"/>
      </w:pPr>
      <w:rPr>
        <w:rFonts w:ascii="Wingdings" w:hAnsi="Wingdings" w:hint="default"/>
      </w:rPr>
    </w:lvl>
    <w:lvl w:ilvl="6" w:tplc="E50ED6B6">
      <w:start w:val="1"/>
      <w:numFmt w:val="bullet"/>
      <w:lvlText w:val=""/>
      <w:lvlJc w:val="left"/>
      <w:pPr>
        <w:ind w:left="5040" w:hanging="360"/>
      </w:pPr>
      <w:rPr>
        <w:rFonts w:ascii="Symbol" w:hAnsi="Symbol" w:hint="default"/>
      </w:rPr>
    </w:lvl>
    <w:lvl w:ilvl="7" w:tplc="C52C9F76">
      <w:start w:val="1"/>
      <w:numFmt w:val="bullet"/>
      <w:lvlText w:val="o"/>
      <w:lvlJc w:val="left"/>
      <w:pPr>
        <w:ind w:left="5760" w:hanging="360"/>
      </w:pPr>
      <w:rPr>
        <w:rFonts w:ascii="Courier New" w:hAnsi="Courier New" w:cs="Courier New" w:hint="default"/>
      </w:rPr>
    </w:lvl>
    <w:lvl w:ilvl="8" w:tplc="EA1CEAA6">
      <w:start w:val="1"/>
      <w:numFmt w:val="bullet"/>
      <w:lvlText w:val=""/>
      <w:lvlJc w:val="left"/>
      <w:pPr>
        <w:ind w:left="6480" w:hanging="360"/>
      </w:pPr>
      <w:rPr>
        <w:rFonts w:ascii="Wingdings" w:hAnsi="Wingdings" w:hint="default"/>
      </w:rPr>
    </w:lvl>
  </w:abstractNum>
  <w:abstractNum w:abstractNumId="1" w15:restartNumberingAfterBreak="0">
    <w:nsid w:val="10B929A1"/>
    <w:multiLevelType w:val="hybridMultilevel"/>
    <w:tmpl w:val="91560E5E"/>
    <w:lvl w:ilvl="0" w:tplc="7C8A4BF4">
      <w:start w:val="1"/>
      <w:numFmt w:val="bullet"/>
      <w:lvlText w:val=""/>
      <w:lvlJc w:val="left"/>
      <w:pPr>
        <w:tabs>
          <w:tab w:val="left" w:pos="-432"/>
        </w:tabs>
        <w:ind w:left="-432" w:hanging="360"/>
      </w:pPr>
      <w:rPr>
        <w:rFonts w:ascii="Symbol" w:hAnsi="Symbol" w:hint="default"/>
        <w:sz w:val="20"/>
      </w:rPr>
    </w:lvl>
    <w:lvl w:ilvl="1" w:tplc="450EA394">
      <w:start w:val="1"/>
      <w:numFmt w:val="bullet"/>
      <w:lvlText w:val="o"/>
      <w:lvlJc w:val="left"/>
      <w:pPr>
        <w:tabs>
          <w:tab w:val="left" w:pos="288"/>
        </w:tabs>
        <w:ind w:left="288" w:hanging="360"/>
      </w:pPr>
      <w:rPr>
        <w:rFonts w:ascii="Courier New" w:hAnsi="Courier New" w:hint="default"/>
        <w:sz w:val="20"/>
      </w:rPr>
    </w:lvl>
    <w:lvl w:ilvl="2" w:tplc="17F806FE">
      <w:start w:val="1"/>
      <w:numFmt w:val="bullet"/>
      <w:lvlText w:val=""/>
      <w:lvlJc w:val="left"/>
      <w:pPr>
        <w:tabs>
          <w:tab w:val="left" w:pos="1008"/>
        </w:tabs>
        <w:ind w:left="1008" w:hanging="360"/>
      </w:pPr>
      <w:rPr>
        <w:rFonts w:ascii="Wingdings" w:hAnsi="Wingdings" w:hint="default"/>
        <w:sz w:val="20"/>
      </w:rPr>
    </w:lvl>
    <w:lvl w:ilvl="3" w:tplc="8AFC5E98">
      <w:start w:val="1"/>
      <w:numFmt w:val="bullet"/>
      <w:lvlText w:val=""/>
      <w:lvlJc w:val="left"/>
      <w:pPr>
        <w:tabs>
          <w:tab w:val="left" w:pos="1728"/>
        </w:tabs>
        <w:ind w:left="1728" w:hanging="360"/>
      </w:pPr>
      <w:rPr>
        <w:rFonts w:ascii="Wingdings" w:hAnsi="Wingdings" w:hint="default"/>
        <w:sz w:val="20"/>
      </w:rPr>
    </w:lvl>
    <w:lvl w:ilvl="4" w:tplc="4F8ACC1A">
      <w:start w:val="1"/>
      <w:numFmt w:val="bullet"/>
      <w:lvlText w:val=""/>
      <w:lvlJc w:val="left"/>
      <w:pPr>
        <w:tabs>
          <w:tab w:val="left" w:pos="2448"/>
        </w:tabs>
        <w:ind w:left="2448" w:hanging="360"/>
      </w:pPr>
      <w:rPr>
        <w:rFonts w:ascii="Wingdings" w:hAnsi="Wingdings" w:hint="default"/>
        <w:sz w:val="20"/>
      </w:rPr>
    </w:lvl>
    <w:lvl w:ilvl="5" w:tplc="ADB0BD46">
      <w:start w:val="1"/>
      <w:numFmt w:val="bullet"/>
      <w:lvlText w:val=""/>
      <w:lvlJc w:val="left"/>
      <w:pPr>
        <w:tabs>
          <w:tab w:val="left" w:pos="3168"/>
        </w:tabs>
        <w:ind w:left="3168" w:hanging="360"/>
      </w:pPr>
      <w:rPr>
        <w:rFonts w:ascii="Wingdings" w:hAnsi="Wingdings" w:hint="default"/>
        <w:sz w:val="20"/>
      </w:rPr>
    </w:lvl>
    <w:lvl w:ilvl="6" w:tplc="C43A57A0">
      <w:start w:val="1"/>
      <w:numFmt w:val="bullet"/>
      <w:lvlText w:val=""/>
      <w:lvlJc w:val="left"/>
      <w:pPr>
        <w:tabs>
          <w:tab w:val="left" w:pos="3888"/>
        </w:tabs>
        <w:ind w:left="3888" w:hanging="360"/>
      </w:pPr>
      <w:rPr>
        <w:rFonts w:ascii="Wingdings" w:hAnsi="Wingdings" w:hint="default"/>
        <w:sz w:val="20"/>
      </w:rPr>
    </w:lvl>
    <w:lvl w:ilvl="7" w:tplc="0DBEA0E0">
      <w:start w:val="1"/>
      <w:numFmt w:val="bullet"/>
      <w:lvlText w:val=""/>
      <w:lvlJc w:val="left"/>
      <w:pPr>
        <w:tabs>
          <w:tab w:val="left" w:pos="4608"/>
        </w:tabs>
        <w:ind w:left="4608" w:hanging="360"/>
      </w:pPr>
      <w:rPr>
        <w:rFonts w:ascii="Wingdings" w:hAnsi="Wingdings" w:hint="default"/>
        <w:sz w:val="20"/>
      </w:rPr>
    </w:lvl>
    <w:lvl w:ilvl="8" w:tplc="1E1A44FA">
      <w:start w:val="1"/>
      <w:numFmt w:val="bullet"/>
      <w:lvlText w:val=""/>
      <w:lvlJc w:val="left"/>
      <w:pPr>
        <w:tabs>
          <w:tab w:val="left" w:pos="5328"/>
        </w:tabs>
        <w:ind w:left="5328" w:hanging="360"/>
      </w:pPr>
      <w:rPr>
        <w:rFonts w:ascii="Wingdings" w:hAnsi="Wingdings" w:hint="default"/>
        <w:sz w:val="20"/>
      </w:rPr>
    </w:lvl>
  </w:abstractNum>
  <w:abstractNum w:abstractNumId="2" w15:restartNumberingAfterBreak="0">
    <w:nsid w:val="1FCB58E3"/>
    <w:multiLevelType w:val="hybridMultilevel"/>
    <w:tmpl w:val="A498006C"/>
    <w:lvl w:ilvl="0" w:tplc="AF0E47D6">
      <w:start w:val="5"/>
      <w:numFmt w:val="bullet"/>
      <w:lvlText w:val="-"/>
      <w:lvlJc w:val="left"/>
      <w:pPr>
        <w:ind w:left="720" w:hanging="360"/>
      </w:pPr>
      <w:rPr>
        <w:rFonts w:ascii="Calibri" w:eastAsia="Calibri" w:hAnsi="Calibri" w:cs="Calibri" w:hint="default"/>
      </w:rPr>
    </w:lvl>
    <w:lvl w:ilvl="1" w:tplc="6F9E8F40">
      <w:start w:val="1"/>
      <w:numFmt w:val="bullet"/>
      <w:lvlText w:val="o"/>
      <w:lvlJc w:val="left"/>
      <w:pPr>
        <w:ind w:left="1440" w:hanging="360"/>
      </w:pPr>
      <w:rPr>
        <w:rFonts w:ascii="Courier New" w:hAnsi="Courier New" w:cs="Courier New" w:hint="default"/>
      </w:rPr>
    </w:lvl>
    <w:lvl w:ilvl="2" w:tplc="37065B48">
      <w:start w:val="1"/>
      <w:numFmt w:val="bullet"/>
      <w:lvlText w:val=""/>
      <w:lvlJc w:val="left"/>
      <w:pPr>
        <w:ind w:left="2160" w:hanging="360"/>
      </w:pPr>
      <w:rPr>
        <w:rFonts w:ascii="Wingdings" w:hAnsi="Wingdings" w:hint="default"/>
      </w:rPr>
    </w:lvl>
    <w:lvl w:ilvl="3" w:tplc="62D27BC6">
      <w:start w:val="1"/>
      <w:numFmt w:val="bullet"/>
      <w:lvlText w:val=""/>
      <w:lvlJc w:val="left"/>
      <w:pPr>
        <w:ind w:left="2880" w:hanging="360"/>
      </w:pPr>
      <w:rPr>
        <w:rFonts w:ascii="Symbol" w:hAnsi="Symbol" w:hint="default"/>
      </w:rPr>
    </w:lvl>
    <w:lvl w:ilvl="4" w:tplc="D12ABED2">
      <w:start w:val="1"/>
      <w:numFmt w:val="bullet"/>
      <w:lvlText w:val="o"/>
      <w:lvlJc w:val="left"/>
      <w:pPr>
        <w:ind w:left="3600" w:hanging="360"/>
      </w:pPr>
      <w:rPr>
        <w:rFonts w:ascii="Courier New" w:hAnsi="Courier New" w:cs="Courier New" w:hint="default"/>
      </w:rPr>
    </w:lvl>
    <w:lvl w:ilvl="5" w:tplc="261A1222">
      <w:start w:val="1"/>
      <w:numFmt w:val="bullet"/>
      <w:lvlText w:val=""/>
      <w:lvlJc w:val="left"/>
      <w:pPr>
        <w:ind w:left="4320" w:hanging="360"/>
      </w:pPr>
      <w:rPr>
        <w:rFonts w:ascii="Wingdings" w:hAnsi="Wingdings" w:hint="default"/>
      </w:rPr>
    </w:lvl>
    <w:lvl w:ilvl="6" w:tplc="225458E2">
      <w:start w:val="1"/>
      <w:numFmt w:val="bullet"/>
      <w:lvlText w:val=""/>
      <w:lvlJc w:val="left"/>
      <w:pPr>
        <w:ind w:left="5040" w:hanging="360"/>
      </w:pPr>
      <w:rPr>
        <w:rFonts w:ascii="Symbol" w:hAnsi="Symbol" w:hint="default"/>
      </w:rPr>
    </w:lvl>
    <w:lvl w:ilvl="7" w:tplc="7368F1CC">
      <w:start w:val="1"/>
      <w:numFmt w:val="bullet"/>
      <w:lvlText w:val="o"/>
      <w:lvlJc w:val="left"/>
      <w:pPr>
        <w:ind w:left="5760" w:hanging="360"/>
      </w:pPr>
      <w:rPr>
        <w:rFonts w:ascii="Courier New" w:hAnsi="Courier New" w:cs="Courier New" w:hint="default"/>
      </w:rPr>
    </w:lvl>
    <w:lvl w:ilvl="8" w:tplc="D7F8DF3E">
      <w:start w:val="1"/>
      <w:numFmt w:val="bullet"/>
      <w:lvlText w:val=""/>
      <w:lvlJc w:val="left"/>
      <w:pPr>
        <w:ind w:left="6480" w:hanging="360"/>
      </w:pPr>
      <w:rPr>
        <w:rFonts w:ascii="Wingdings" w:hAnsi="Wingdings" w:hint="default"/>
      </w:rPr>
    </w:lvl>
  </w:abstractNum>
  <w:abstractNum w:abstractNumId="3" w15:restartNumberingAfterBreak="0">
    <w:nsid w:val="33673DC8"/>
    <w:multiLevelType w:val="hybridMultilevel"/>
    <w:tmpl w:val="A0881AA0"/>
    <w:lvl w:ilvl="0" w:tplc="B1885CA2">
      <w:start w:val="5"/>
      <w:numFmt w:val="bullet"/>
      <w:lvlText w:val="-"/>
      <w:lvlJc w:val="left"/>
      <w:pPr>
        <w:ind w:left="720" w:hanging="360"/>
      </w:pPr>
      <w:rPr>
        <w:rFonts w:ascii="Calibri" w:eastAsia="Calibri" w:hAnsi="Calibri" w:cs="Calibri" w:hint="default"/>
      </w:rPr>
    </w:lvl>
    <w:lvl w:ilvl="1" w:tplc="4D80B96C">
      <w:start w:val="1"/>
      <w:numFmt w:val="bullet"/>
      <w:lvlText w:val="o"/>
      <w:lvlJc w:val="left"/>
      <w:pPr>
        <w:ind w:left="1440" w:hanging="360"/>
      </w:pPr>
      <w:rPr>
        <w:rFonts w:ascii="Courier New" w:hAnsi="Courier New" w:cs="Courier New" w:hint="default"/>
      </w:rPr>
    </w:lvl>
    <w:lvl w:ilvl="2" w:tplc="02DE3F5E">
      <w:start w:val="1"/>
      <w:numFmt w:val="bullet"/>
      <w:lvlText w:val=""/>
      <w:lvlJc w:val="left"/>
      <w:pPr>
        <w:ind w:left="2160" w:hanging="360"/>
      </w:pPr>
      <w:rPr>
        <w:rFonts w:ascii="Wingdings" w:hAnsi="Wingdings" w:hint="default"/>
      </w:rPr>
    </w:lvl>
    <w:lvl w:ilvl="3" w:tplc="638A2C78">
      <w:start w:val="1"/>
      <w:numFmt w:val="bullet"/>
      <w:lvlText w:val=""/>
      <w:lvlJc w:val="left"/>
      <w:pPr>
        <w:ind w:left="2880" w:hanging="360"/>
      </w:pPr>
      <w:rPr>
        <w:rFonts w:ascii="Symbol" w:hAnsi="Symbol" w:hint="default"/>
      </w:rPr>
    </w:lvl>
    <w:lvl w:ilvl="4" w:tplc="5D284726">
      <w:start w:val="1"/>
      <w:numFmt w:val="bullet"/>
      <w:lvlText w:val="o"/>
      <w:lvlJc w:val="left"/>
      <w:pPr>
        <w:ind w:left="3600" w:hanging="360"/>
      </w:pPr>
      <w:rPr>
        <w:rFonts w:ascii="Courier New" w:hAnsi="Courier New" w:cs="Courier New" w:hint="default"/>
      </w:rPr>
    </w:lvl>
    <w:lvl w:ilvl="5" w:tplc="10E2065E">
      <w:start w:val="1"/>
      <w:numFmt w:val="bullet"/>
      <w:lvlText w:val=""/>
      <w:lvlJc w:val="left"/>
      <w:pPr>
        <w:ind w:left="4320" w:hanging="360"/>
      </w:pPr>
      <w:rPr>
        <w:rFonts w:ascii="Wingdings" w:hAnsi="Wingdings" w:hint="default"/>
      </w:rPr>
    </w:lvl>
    <w:lvl w:ilvl="6" w:tplc="B666007C">
      <w:start w:val="1"/>
      <w:numFmt w:val="bullet"/>
      <w:lvlText w:val=""/>
      <w:lvlJc w:val="left"/>
      <w:pPr>
        <w:ind w:left="5040" w:hanging="360"/>
      </w:pPr>
      <w:rPr>
        <w:rFonts w:ascii="Symbol" w:hAnsi="Symbol" w:hint="default"/>
      </w:rPr>
    </w:lvl>
    <w:lvl w:ilvl="7" w:tplc="D4F67694">
      <w:start w:val="1"/>
      <w:numFmt w:val="bullet"/>
      <w:lvlText w:val="o"/>
      <w:lvlJc w:val="left"/>
      <w:pPr>
        <w:ind w:left="5760" w:hanging="360"/>
      </w:pPr>
      <w:rPr>
        <w:rFonts w:ascii="Courier New" w:hAnsi="Courier New" w:cs="Courier New" w:hint="default"/>
      </w:rPr>
    </w:lvl>
    <w:lvl w:ilvl="8" w:tplc="A19EAD10">
      <w:start w:val="1"/>
      <w:numFmt w:val="bullet"/>
      <w:lvlText w:val=""/>
      <w:lvlJc w:val="left"/>
      <w:pPr>
        <w:ind w:left="6480" w:hanging="360"/>
      </w:pPr>
      <w:rPr>
        <w:rFonts w:ascii="Wingdings" w:hAnsi="Wingdings" w:hint="default"/>
      </w:rPr>
    </w:lvl>
  </w:abstractNum>
  <w:abstractNum w:abstractNumId="4" w15:restartNumberingAfterBreak="0">
    <w:nsid w:val="4361196C"/>
    <w:multiLevelType w:val="hybridMultilevel"/>
    <w:tmpl w:val="F19221C6"/>
    <w:lvl w:ilvl="0" w:tplc="0E28502E">
      <w:start w:val="5"/>
      <w:numFmt w:val="bullet"/>
      <w:lvlText w:val="-"/>
      <w:lvlJc w:val="left"/>
      <w:pPr>
        <w:ind w:left="720" w:hanging="360"/>
      </w:pPr>
      <w:rPr>
        <w:rFonts w:ascii="Calibri" w:eastAsia="Calibri" w:hAnsi="Calibri" w:cs="Calibri" w:hint="default"/>
      </w:rPr>
    </w:lvl>
    <w:lvl w:ilvl="1" w:tplc="7A28BFE0">
      <w:start w:val="1"/>
      <w:numFmt w:val="bullet"/>
      <w:lvlText w:val="o"/>
      <w:lvlJc w:val="left"/>
      <w:pPr>
        <w:ind w:left="1440" w:hanging="360"/>
      </w:pPr>
      <w:rPr>
        <w:rFonts w:ascii="Courier New" w:hAnsi="Courier New" w:cs="Courier New" w:hint="default"/>
      </w:rPr>
    </w:lvl>
    <w:lvl w:ilvl="2" w:tplc="A67EDF1A">
      <w:start w:val="1"/>
      <w:numFmt w:val="bullet"/>
      <w:lvlText w:val=""/>
      <w:lvlJc w:val="left"/>
      <w:pPr>
        <w:ind w:left="2160" w:hanging="360"/>
      </w:pPr>
      <w:rPr>
        <w:rFonts w:ascii="Wingdings" w:hAnsi="Wingdings" w:hint="default"/>
      </w:rPr>
    </w:lvl>
    <w:lvl w:ilvl="3" w:tplc="9FE48856">
      <w:start w:val="1"/>
      <w:numFmt w:val="bullet"/>
      <w:lvlText w:val=""/>
      <w:lvlJc w:val="left"/>
      <w:pPr>
        <w:ind w:left="2880" w:hanging="360"/>
      </w:pPr>
      <w:rPr>
        <w:rFonts w:ascii="Symbol" w:hAnsi="Symbol" w:hint="default"/>
      </w:rPr>
    </w:lvl>
    <w:lvl w:ilvl="4" w:tplc="BCDE291A">
      <w:start w:val="1"/>
      <w:numFmt w:val="bullet"/>
      <w:lvlText w:val="o"/>
      <w:lvlJc w:val="left"/>
      <w:pPr>
        <w:ind w:left="3600" w:hanging="360"/>
      </w:pPr>
      <w:rPr>
        <w:rFonts w:ascii="Courier New" w:hAnsi="Courier New" w:cs="Courier New" w:hint="default"/>
      </w:rPr>
    </w:lvl>
    <w:lvl w:ilvl="5" w:tplc="0D5C06BE">
      <w:start w:val="1"/>
      <w:numFmt w:val="bullet"/>
      <w:lvlText w:val=""/>
      <w:lvlJc w:val="left"/>
      <w:pPr>
        <w:ind w:left="4320" w:hanging="360"/>
      </w:pPr>
      <w:rPr>
        <w:rFonts w:ascii="Wingdings" w:hAnsi="Wingdings" w:hint="default"/>
      </w:rPr>
    </w:lvl>
    <w:lvl w:ilvl="6" w:tplc="E47ADB26">
      <w:start w:val="1"/>
      <w:numFmt w:val="bullet"/>
      <w:lvlText w:val=""/>
      <w:lvlJc w:val="left"/>
      <w:pPr>
        <w:ind w:left="5040" w:hanging="360"/>
      </w:pPr>
      <w:rPr>
        <w:rFonts w:ascii="Symbol" w:hAnsi="Symbol" w:hint="default"/>
      </w:rPr>
    </w:lvl>
    <w:lvl w:ilvl="7" w:tplc="C3A88646">
      <w:start w:val="1"/>
      <w:numFmt w:val="bullet"/>
      <w:lvlText w:val="o"/>
      <w:lvlJc w:val="left"/>
      <w:pPr>
        <w:ind w:left="5760" w:hanging="360"/>
      </w:pPr>
      <w:rPr>
        <w:rFonts w:ascii="Courier New" w:hAnsi="Courier New" w:cs="Courier New" w:hint="default"/>
      </w:rPr>
    </w:lvl>
    <w:lvl w:ilvl="8" w:tplc="AC1E880A">
      <w:start w:val="1"/>
      <w:numFmt w:val="bullet"/>
      <w:lvlText w:val=""/>
      <w:lvlJc w:val="left"/>
      <w:pPr>
        <w:ind w:left="6480" w:hanging="360"/>
      </w:pPr>
      <w:rPr>
        <w:rFonts w:ascii="Wingdings" w:hAnsi="Wingdings" w:hint="default"/>
      </w:rPr>
    </w:lvl>
  </w:abstractNum>
  <w:abstractNum w:abstractNumId="5" w15:restartNumberingAfterBreak="0">
    <w:nsid w:val="4C407141"/>
    <w:multiLevelType w:val="hybridMultilevel"/>
    <w:tmpl w:val="1B0ABD64"/>
    <w:lvl w:ilvl="0" w:tplc="3BF8E424">
      <w:start w:val="5"/>
      <w:numFmt w:val="bullet"/>
      <w:lvlText w:val="-"/>
      <w:lvlJc w:val="left"/>
      <w:pPr>
        <w:ind w:left="720" w:hanging="360"/>
      </w:pPr>
      <w:rPr>
        <w:rFonts w:ascii="Calibri" w:eastAsia="Calibri" w:hAnsi="Calibri" w:cs="Calibri" w:hint="default"/>
      </w:rPr>
    </w:lvl>
    <w:lvl w:ilvl="1" w:tplc="DA00CD16">
      <w:start w:val="1"/>
      <w:numFmt w:val="bullet"/>
      <w:lvlText w:val="o"/>
      <w:lvlJc w:val="left"/>
      <w:pPr>
        <w:ind w:left="1440" w:hanging="360"/>
      </w:pPr>
      <w:rPr>
        <w:rFonts w:ascii="Courier New" w:hAnsi="Courier New" w:cs="Courier New" w:hint="default"/>
      </w:rPr>
    </w:lvl>
    <w:lvl w:ilvl="2" w:tplc="42A64CDC">
      <w:start w:val="1"/>
      <w:numFmt w:val="bullet"/>
      <w:lvlText w:val=""/>
      <w:lvlJc w:val="left"/>
      <w:pPr>
        <w:ind w:left="2160" w:hanging="360"/>
      </w:pPr>
      <w:rPr>
        <w:rFonts w:ascii="Wingdings" w:hAnsi="Wingdings" w:hint="default"/>
      </w:rPr>
    </w:lvl>
    <w:lvl w:ilvl="3" w:tplc="E5C67B80">
      <w:start w:val="1"/>
      <w:numFmt w:val="bullet"/>
      <w:lvlText w:val=""/>
      <w:lvlJc w:val="left"/>
      <w:pPr>
        <w:ind w:left="2880" w:hanging="360"/>
      </w:pPr>
      <w:rPr>
        <w:rFonts w:ascii="Symbol" w:hAnsi="Symbol" w:hint="default"/>
      </w:rPr>
    </w:lvl>
    <w:lvl w:ilvl="4" w:tplc="4F3C3E1E">
      <w:start w:val="1"/>
      <w:numFmt w:val="bullet"/>
      <w:lvlText w:val="o"/>
      <w:lvlJc w:val="left"/>
      <w:pPr>
        <w:ind w:left="3600" w:hanging="360"/>
      </w:pPr>
      <w:rPr>
        <w:rFonts w:ascii="Courier New" w:hAnsi="Courier New" w:cs="Courier New" w:hint="default"/>
      </w:rPr>
    </w:lvl>
    <w:lvl w:ilvl="5" w:tplc="9192263C">
      <w:start w:val="1"/>
      <w:numFmt w:val="bullet"/>
      <w:lvlText w:val=""/>
      <w:lvlJc w:val="left"/>
      <w:pPr>
        <w:ind w:left="4320" w:hanging="360"/>
      </w:pPr>
      <w:rPr>
        <w:rFonts w:ascii="Wingdings" w:hAnsi="Wingdings" w:hint="default"/>
      </w:rPr>
    </w:lvl>
    <w:lvl w:ilvl="6" w:tplc="20BE8494">
      <w:start w:val="1"/>
      <w:numFmt w:val="bullet"/>
      <w:lvlText w:val=""/>
      <w:lvlJc w:val="left"/>
      <w:pPr>
        <w:ind w:left="5040" w:hanging="360"/>
      </w:pPr>
      <w:rPr>
        <w:rFonts w:ascii="Symbol" w:hAnsi="Symbol" w:hint="default"/>
      </w:rPr>
    </w:lvl>
    <w:lvl w:ilvl="7" w:tplc="8C180EC8">
      <w:start w:val="1"/>
      <w:numFmt w:val="bullet"/>
      <w:lvlText w:val="o"/>
      <w:lvlJc w:val="left"/>
      <w:pPr>
        <w:ind w:left="5760" w:hanging="360"/>
      </w:pPr>
      <w:rPr>
        <w:rFonts w:ascii="Courier New" w:hAnsi="Courier New" w:cs="Courier New" w:hint="default"/>
      </w:rPr>
    </w:lvl>
    <w:lvl w:ilvl="8" w:tplc="5E7E7B28">
      <w:start w:val="1"/>
      <w:numFmt w:val="bullet"/>
      <w:lvlText w:val=""/>
      <w:lvlJc w:val="left"/>
      <w:pPr>
        <w:ind w:left="6480" w:hanging="360"/>
      </w:pPr>
      <w:rPr>
        <w:rFonts w:ascii="Wingdings" w:hAnsi="Wingdings" w:hint="default"/>
      </w:rPr>
    </w:lvl>
  </w:abstractNum>
  <w:abstractNum w:abstractNumId="6" w15:restartNumberingAfterBreak="0">
    <w:nsid w:val="5DFA0F97"/>
    <w:multiLevelType w:val="hybridMultilevel"/>
    <w:tmpl w:val="A6302E82"/>
    <w:lvl w:ilvl="0" w:tplc="B5A61D90">
      <w:start w:val="1"/>
      <w:numFmt w:val="bullet"/>
      <w:lvlText w:val=""/>
      <w:lvlJc w:val="left"/>
      <w:pPr>
        <w:ind w:left="720" w:hanging="360"/>
      </w:pPr>
      <w:rPr>
        <w:rFonts w:ascii="Symbol" w:hAnsi="Symbol" w:hint="default"/>
      </w:rPr>
    </w:lvl>
    <w:lvl w:ilvl="1" w:tplc="7486995C">
      <w:start w:val="1"/>
      <w:numFmt w:val="bullet"/>
      <w:lvlText w:val="o"/>
      <w:lvlJc w:val="left"/>
      <w:pPr>
        <w:ind w:left="1440" w:hanging="360"/>
      </w:pPr>
      <w:rPr>
        <w:rFonts w:ascii="Courier New" w:hAnsi="Courier New" w:cs="Courier New" w:hint="default"/>
      </w:rPr>
    </w:lvl>
    <w:lvl w:ilvl="2" w:tplc="EBBA02B8">
      <w:start w:val="1"/>
      <w:numFmt w:val="bullet"/>
      <w:lvlText w:val=""/>
      <w:lvlJc w:val="left"/>
      <w:pPr>
        <w:ind w:left="2160" w:hanging="360"/>
      </w:pPr>
      <w:rPr>
        <w:rFonts w:ascii="Wingdings" w:hAnsi="Wingdings" w:hint="default"/>
      </w:rPr>
    </w:lvl>
    <w:lvl w:ilvl="3" w:tplc="C4BC19B4">
      <w:start w:val="1"/>
      <w:numFmt w:val="bullet"/>
      <w:lvlText w:val=""/>
      <w:lvlJc w:val="left"/>
      <w:pPr>
        <w:ind w:left="2880" w:hanging="360"/>
      </w:pPr>
      <w:rPr>
        <w:rFonts w:ascii="Symbol" w:hAnsi="Symbol" w:hint="default"/>
      </w:rPr>
    </w:lvl>
    <w:lvl w:ilvl="4" w:tplc="6EE00C2E">
      <w:start w:val="1"/>
      <w:numFmt w:val="bullet"/>
      <w:lvlText w:val="o"/>
      <w:lvlJc w:val="left"/>
      <w:pPr>
        <w:ind w:left="3600" w:hanging="360"/>
      </w:pPr>
      <w:rPr>
        <w:rFonts w:ascii="Courier New" w:hAnsi="Courier New" w:cs="Courier New" w:hint="default"/>
      </w:rPr>
    </w:lvl>
    <w:lvl w:ilvl="5" w:tplc="98C6871E">
      <w:start w:val="1"/>
      <w:numFmt w:val="bullet"/>
      <w:lvlText w:val=""/>
      <w:lvlJc w:val="left"/>
      <w:pPr>
        <w:ind w:left="4320" w:hanging="360"/>
      </w:pPr>
      <w:rPr>
        <w:rFonts w:ascii="Wingdings" w:hAnsi="Wingdings" w:hint="default"/>
      </w:rPr>
    </w:lvl>
    <w:lvl w:ilvl="6" w:tplc="16DC5900">
      <w:start w:val="1"/>
      <w:numFmt w:val="bullet"/>
      <w:lvlText w:val=""/>
      <w:lvlJc w:val="left"/>
      <w:pPr>
        <w:ind w:left="5040" w:hanging="360"/>
      </w:pPr>
      <w:rPr>
        <w:rFonts w:ascii="Symbol" w:hAnsi="Symbol" w:hint="default"/>
      </w:rPr>
    </w:lvl>
    <w:lvl w:ilvl="7" w:tplc="B9E8694A">
      <w:start w:val="1"/>
      <w:numFmt w:val="bullet"/>
      <w:lvlText w:val="o"/>
      <w:lvlJc w:val="left"/>
      <w:pPr>
        <w:ind w:left="5760" w:hanging="360"/>
      </w:pPr>
      <w:rPr>
        <w:rFonts w:ascii="Courier New" w:hAnsi="Courier New" w:cs="Courier New" w:hint="default"/>
      </w:rPr>
    </w:lvl>
    <w:lvl w:ilvl="8" w:tplc="D1AAE09C">
      <w:start w:val="1"/>
      <w:numFmt w:val="bullet"/>
      <w:lvlText w:val=""/>
      <w:lvlJc w:val="left"/>
      <w:pPr>
        <w:ind w:left="6480" w:hanging="360"/>
      </w:pPr>
      <w:rPr>
        <w:rFonts w:ascii="Wingdings" w:hAnsi="Wingdings" w:hint="default"/>
      </w:rPr>
    </w:lvl>
  </w:abstractNum>
  <w:abstractNum w:abstractNumId="7" w15:restartNumberingAfterBreak="0">
    <w:nsid w:val="69B513AA"/>
    <w:multiLevelType w:val="hybridMultilevel"/>
    <w:tmpl w:val="43C66F90"/>
    <w:lvl w:ilvl="0" w:tplc="4E0807A6">
      <w:start w:val="1"/>
      <w:numFmt w:val="upperLetter"/>
      <w:lvlText w:val="%1."/>
      <w:lvlJc w:val="left"/>
      <w:pPr>
        <w:ind w:left="720" w:hanging="360"/>
      </w:pPr>
      <w:rPr>
        <w:rFonts w:hint="default"/>
      </w:rPr>
    </w:lvl>
    <w:lvl w:ilvl="1" w:tplc="A9D6E5E4">
      <w:start w:val="1"/>
      <w:numFmt w:val="lowerLetter"/>
      <w:lvlText w:val="%2."/>
      <w:lvlJc w:val="left"/>
      <w:pPr>
        <w:ind w:left="1440" w:hanging="360"/>
      </w:pPr>
    </w:lvl>
    <w:lvl w:ilvl="2" w:tplc="16B0D026">
      <w:start w:val="1"/>
      <w:numFmt w:val="lowerRoman"/>
      <w:lvlText w:val="%3."/>
      <w:lvlJc w:val="right"/>
      <w:pPr>
        <w:ind w:left="2160" w:hanging="180"/>
      </w:pPr>
    </w:lvl>
    <w:lvl w:ilvl="3" w:tplc="BEAC5FA2">
      <w:start w:val="1"/>
      <w:numFmt w:val="decimal"/>
      <w:lvlText w:val="%4."/>
      <w:lvlJc w:val="left"/>
      <w:pPr>
        <w:ind w:left="2880" w:hanging="360"/>
      </w:pPr>
    </w:lvl>
    <w:lvl w:ilvl="4" w:tplc="52BC712A">
      <w:start w:val="1"/>
      <w:numFmt w:val="lowerLetter"/>
      <w:lvlText w:val="%5."/>
      <w:lvlJc w:val="left"/>
      <w:pPr>
        <w:ind w:left="3600" w:hanging="360"/>
      </w:pPr>
    </w:lvl>
    <w:lvl w:ilvl="5" w:tplc="CB4E1AE4">
      <w:start w:val="1"/>
      <w:numFmt w:val="lowerRoman"/>
      <w:lvlText w:val="%6."/>
      <w:lvlJc w:val="right"/>
      <w:pPr>
        <w:ind w:left="4320" w:hanging="180"/>
      </w:pPr>
    </w:lvl>
    <w:lvl w:ilvl="6" w:tplc="01706B5C">
      <w:start w:val="1"/>
      <w:numFmt w:val="decimal"/>
      <w:lvlText w:val="%7."/>
      <w:lvlJc w:val="left"/>
      <w:pPr>
        <w:ind w:left="5040" w:hanging="360"/>
      </w:pPr>
    </w:lvl>
    <w:lvl w:ilvl="7" w:tplc="414A0EFE">
      <w:start w:val="1"/>
      <w:numFmt w:val="lowerLetter"/>
      <w:lvlText w:val="%8."/>
      <w:lvlJc w:val="left"/>
      <w:pPr>
        <w:ind w:left="5760" w:hanging="360"/>
      </w:pPr>
    </w:lvl>
    <w:lvl w:ilvl="8" w:tplc="7C626316">
      <w:start w:val="1"/>
      <w:numFmt w:val="lowerRoman"/>
      <w:lvlText w:val="%9."/>
      <w:lvlJc w:val="right"/>
      <w:pPr>
        <w:ind w:left="6480" w:hanging="180"/>
      </w:pPr>
    </w:lvl>
  </w:abstractNum>
  <w:abstractNum w:abstractNumId="8" w15:restartNumberingAfterBreak="0">
    <w:nsid w:val="72B85DFD"/>
    <w:multiLevelType w:val="hybridMultilevel"/>
    <w:tmpl w:val="EE48FC88"/>
    <w:lvl w:ilvl="0" w:tplc="B53C43C6">
      <w:start w:val="1"/>
      <w:numFmt w:val="bullet"/>
      <w:lvlText w:val=""/>
      <w:lvlJc w:val="left"/>
      <w:pPr>
        <w:ind w:left="720" w:hanging="360"/>
      </w:pPr>
      <w:rPr>
        <w:rFonts w:ascii="Symbol" w:hAnsi="Symbol" w:hint="default"/>
      </w:rPr>
    </w:lvl>
    <w:lvl w:ilvl="1" w:tplc="53BEF1FC">
      <w:start w:val="1"/>
      <w:numFmt w:val="bullet"/>
      <w:lvlText w:val="o"/>
      <w:lvlJc w:val="left"/>
      <w:pPr>
        <w:ind w:left="1440" w:hanging="360"/>
      </w:pPr>
      <w:rPr>
        <w:rFonts w:ascii="Courier New" w:hAnsi="Courier New" w:cs="Courier New" w:hint="default"/>
      </w:rPr>
    </w:lvl>
    <w:lvl w:ilvl="2" w:tplc="F496A092">
      <w:start w:val="1"/>
      <w:numFmt w:val="bullet"/>
      <w:lvlText w:val=""/>
      <w:lvlJc w:val="left"/>
      <w:pPr>
        <w:ind w:left="2160" w:hanging="360"/>
      </w:pPr>
      <w:rPr>
        <w:rFonts w:ascii="Wingdings" w:hAnsi="Wingdings" w:hint="default"/>
      </w:rPr>
    </w:lvl>
    <w:lvl w:ilvl="3" w:tplc="896C73CE">
      <w:start w:val="1"/>
      <w:numFmt w:val="bullet"/>
      <w:lvlText w:val=""/>
      <w:lvlJc w:val="left"/>
      <w:pPr>
        <w:ind w:left="2880" w:hanging="360"/>
      </w:pPr>
      <w:rPr>
        <w:rFonts w:ascii="Symbol" w:hAnsi="Symbol" w:hint="default"/>
      </w:rPr>
    </w:lvl>
    <w:lvl w:ilvl="4" w:tplc="1794EFAC">
      <w:start w:val="1"/>
      <w:numFmt w:val="bullet"/>
      <w:lvlText w:val="o"/>
      <w:lvlJc w:val="left"/>
      <w:pPr>
        <w:ind w:left="3600" w:hanging="360"/>
      </w:pPr>
      <w:rPr>
        <w:rFonts w:ascii="Courier New" w:hAnsi="Courier New" w:cs="Courier New" w:hint="default"/>
      </w:rPr>
    </w:lvl>
    <w:lvl w:ilvl="5" w:tplc="1D943506">
      <w:start w:val="1"/>
      <w:numFmt w:val="bullet"/>
      <w:lvlText w:val=""/>
      <w:lvlJc w:val="left"/>
      <w:pPr>
        <w:ind w:left="4320" w:hanging="360"/>
      </w:pPr>
      <w:rPr>
        <w:rFonts w:ascii="Wingdings" w:hAnsi="Wingdings" w:hint="default"/>
      </w:rPr>
    </w:lvl>
    <w:lvl w:ilvl="6" w:tplc="A0B0F3B2">
      <w:start w:val="1"/>
      <w:numFmt w:val="bullet"/>
      <w:lvlText w:val=""/>
      <w:lvlJc w:val="left"/>
      <w:pPr>
        <w:ind w:left="5040" w:hanging="360"/>
      </w:pPr>
      <w:rPr>
        <w:rFonts w:ascii="Symbol" w:hAnsi="Symbol" w:hint="default"/>
      </w:rPr>
    </w:lvl>
    <w:lvl w:ilvl="7" w:tplc="73A88204">
      <w:start w:val="1"/>
      <w:numFmt w:val="bullet"/>
      <w:lvlText w:val="o"/>
      <w:lvlJc w:val="left"/>
      <w:pPr>
        <w:ind w:left="5760" w:hanging="360"/>
      </w:pPr>
      <w:rPr>
        <w:rFonts w:ascii="Courier New" w:hAnsi="Courier New" w:cs="Courier New" w:hint="default"/>
      </w:rPr>
    </w:lvl>
    <w:lvl w:ilvl="8" w:tplc="338840D0">
      <w:start w:val="1"/>
      <w:numFmt w:val="bullet"/>
      <w:lvlText w:val=""/>
      <w:lvlJc w:val="left"/>
      <w:pPr>
        <w:ind w:left="6480" w:hanging="360"/>
      </w:pPr>
      <w:rPr>
        <w:rFonts w:ascii="Wingdings" w:hAnsi="Wingdings" w:hint="default"/>
      </w:rPr>
    </w:lvl>
  </w:abstractNum>
  <w:abstractNum w:abstractNumId="9" w15:restartNumberingAfterBreak="0">
    <w:nsid w:val="7E9919C0"/>
    <w:multiLevelType w:val="hybridMultilevel"/>
    <w:tmpl w:val="063C6B6A"/>
    <w:lvl w:ilvl="0" w:tplc="42D8CAA4">
      <w:start w:val="5"/>
      <w:numFmt w:val="bullet"/>
      <w:lvlText w:val="-"/>
      <w:lvlJc w:val="left"/>
      <w:pPr>
        <w:ind w:left="720" w:hanging="360"/>
      </w:pPr>
      <w:rPr>
        <w:rFonts w:ascii="Calibri" w:eastAsia="Calibri" w:hAnsi="Calibri" w:cs="Calibri" w:hint="default"/>
      </w:rPr>
    </w:lvl>
    <w:lvl w:ilvl="1" w:tplc="8CD65D52">
      <w:start w:val="1"/>
      <w:numFmt w:val="bullet"/>
      <w:lvlText w:val="o"/>
      <w:lvlJc w:val="left"/>
      <w:pPr>
        <w:ind w:left="1440" w:hanging="360"/>
      </w:pPr>
      <w:rPr>
        <w:rFonts w:ascii="Courier New" w:hAnsi="Courier New" w:cs="Courier New" w:hint="default"/>
      </w:rPr>
    </w:lvl>
    <w:lvl w:ilvl="2" w:tplc="9314ECA2">
      <w:start w:val="1"/>
      <w:numFmt w:val="bullet"/>
      <w:lvlText w:val=""/>
      <w:lvlJc w:val="left"/>
      <w:pPr>
        <w:ind w:left="2160" w:hanging="360"/>
      </w:pPr>
      <w:rPr>
        <w:rFonts w:ascii="Wingdings" w:hAnsi="Wingdings" w:hint="default"/>
      </w:rPr>
    </w:lvl>
    <w:lvl w:ilvl="3" w:tplc="B60C6742">
      <w:start w:val="1"/>
      <w:numFmt w:val="bullet"/>
      <w:lvlText w:val=""/>
      <w:lvlJc w:val="left"/>
      <w:pPr>
        <w:ind w:left="2880" w:hanging="360"/>
      </w:pPr>
      <w:rPr>
        <w:rFonts w:ascii="Symbol" w:hAnsi="Symbol" w:hint="default"/>
      </w:rPr>
    </w:lvl>
    <w:lvl w:ilvl="4" w:tplc="D2769A8E">
      <w:start w:val="1"/>
      <w:numFmt w:val="bullet"/>
      <w:lvlText w:val="o"/>
      <w:lvlJc w:val="left"/>
      <w:pPr>
        <w:ind w:left="3600" w:hanging="360"/>
      </w:pPr>
      <w:rPr>
        <w:rFonts w:ascii="Courier New" w:hAnsi="Courier New" w:cs="Courier New" w:hint="default"/>
      </w:rPr>
    </w:lvl>
    <w:lvl w:ilvl="5" w:tplc="D6061DBC">
      <w:start w:val="1"/>
      <w:numFmt w:val="bullet"/>
      <w:lvlText w:val=""/>
      <w:lvlJc w:val="left"/>
      <w:pPr>
        <w:ind w:left="4320" w:hanging="360"/>
      </w:pPr>
      <w:rPr>
        <w:rFonts w:ascii="Wingdings" w:hAnsi="Wingdings" w:hint="default"/>
      </w:rPr>
    </w:lvl>
    <w:lvl w:ilvl="6" w:tplc="F78073C8">
      <w:start w:val="1"/>
      <w:numFmt w:val="bullet"/>
      <w:lvlText w:val=""/>
      <w:lvlJc w:val="left"/>
      <w:pPr>
        <w:ind w:left="5040" w:hanging="360"/>
      </w:pPr>
      <w:rPr>
        <w:rFonts w:ascii="Symbol" w:hAnsi="Symbol" w:hint="default"/>
      </w:rPr>
    </w:lvl>
    <w:lvl w:ilvl="7" w:tplc="27CE8DA6">
      <w:start w:val="1"/>
      <w:numFmt w:val="bullet"/>
      <w:lvlText w:val="o"/>
      <w:lvlJc w:val="left"/>
      <w:pPr>
        <w:ind w:left="5760" w:hanging="360"/>
      </w:pPr>
      <w:rPr>
        <w:rFonts w:ascii="Courier New" w:hAnsi="Courier New" w:cs="Courier New" w:hint="default"/>
      </w:rPr>
    </w:lvl>
    <w:lvl w:ilvl="8" w:tplc="A6C2D3BE">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5"/>
  </w:num>
  <w:num w:numId="5">
    <w:abstractNumId w:val="4"/>
  </w:num>
  <w:num w:numId="6">
    <w:abstractNumId w:val="2"/>
  </w:num>
  <w:num w:numId="7">
    <w:abstractNumId w:val="1"/>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FB"/>
    <w:rsid w:val="000972B3"/>
    <w:rsid w:val="0010723E"/>
    <w:rsid w:val="00210C7F"/>
    <w:rsid w:val="00264CFB"/>
    <w:rsid w:val="002D21A5"/>
    <w:rsid w:val="00315172"/>
    <w:rsid w:val="003B02EC"/>
    <w:rsid w:val="003B6AAF"/>
    <w:rsid w:val="00405777"/>
    <w:rsid w:val="00415AA6"/>
    <w:rsid w:val="00923798"/>
    <w:rsid w:val="00A13A1B"/>
    <w:rsid w:val="00D81164"/>
    <w:rsid w:val="00F74F4F"/>
    <w:rsid w:val="00F81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7AEB"/>
  <w15:docId w15:val="{2CBFBAD6-E5AA-493E-B546-94AEED88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Calibri Light" w:eastAsia="Calibri Light" w:hAnsi="Calibri Light" w:cs="Calibri Light"/>
      <w:color w:val="2E74B5" w:themeColor="accent1" w:themeShade="BF"/>
      <w:sz w:val="32"/>
      <w:szCs w:val="32"/>
    </w:rPr>
  </w:style>
  <w:style w:type="paragraph" w:styleId="Titre2">
    <w:name w:val="heading 2"/>
    <w:basedOn w:val="Normal"/>
    <w:link w:val="Titre2C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pPr>
      <w:keepNext/>
      <w:keepLines/>
      <w:spacing w:before="40" w:after="0"/>
      <w:outlineLvl w:val="2"/>
    </w:pPr>
    <w:rPr>
      <w:rFonts w:ascii="Calibri Light" w:eastAsia="Calibri Light" w:hAnsi="Calibri Light" w:cs="Calibri Light"/>
      <w:color w:val="1F4D78" w:themeColor="accent1" w:themeShade="7F"/>
      <w:sz w:val="24"/>
      <w:szCs w:val="24"/>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character" w:customStyle="1" w:styleId="FootnoteTextChar">
    <w:name w:val="Footnote Text Char"/>
    <w:uiPriority w:val="99"/>
    <w:rPr>
      <w:sz w:val="18"/>
    </w:rPr>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character" w:customStyle="1" w:styleId="Titre2Car">
    <w:name w:val="Titre 2 Car"/>
    <w:basedOn w:val="Policepardfaut"/>
    <w:link w:val="Titre2"/>
    <w:uiPriority w:val="9"/>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Pr>
      <w:rFonts w:ascii="Calibri Light" w:eastAsia="Calibri Light" w:hAnsi="Calibri Light" w:cs="Calibri Light"/>
      <w:color w:val="2E74B5" w:themeColor="accent1" w:themeShade="BF"/>
      <w:sz w:val="32"/>
      <w:szCs w:val="32"/>
    </w:rPr>
  </w:style>
  <w:style w:type="paragraph" w:styleId="Paragraphedeliste">
    <w:name w:val="List Paragraph"/>
    <w:basedOn w:val="Normal"/>
    <w:uiPriority w:val="34"/>
    <w:qFormat/>
    <w:pPr>
      <w:ind w:left="720"/>
      <w:contextualSpacing/>
    </w:p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Lienhypertexte">
    <w:name w:val="Hyperlink"/>
    <w:basedOn w:val="Policepardfaut"/>
    <w:uiPriority w:val="99"/>
    <w:semiHidden/>
    <w:unhideWhenUsed/>
    <w:rPr>
      <w:color w:val="0000FF"/>
      <w:u w:val="single"/>
    </w:rPr>
  </w:style>
  <w:style w:type="character" w:customStyle="1" w:styleId="Titre3Car">
    <w:name w:val="Titre 3 Car"/>
    <w:basedOn w:val="Policepardfaut"/>
    <w:link w:val="Titre3"/>
    <w:uiPriority w:val="9"/>
    <w:rPr>
      <w:rFonts w:ascii="Calibri Light" w:eastAsia="Calibri Light" w:hAnsi="Calibri Light" w:cs="Calibri Light"/>
      <w:color w:val="1F4D78" w:themeColor="accent1" w:themeShade="7F"/>
      <w:sz w:val="24"/>
      <w:szCs w:val="24"/>
    </w:rPr>
  </w:style>
  <w:style w:type="character" w:customStyle="1" w:styleId="docdata">
    <w:name w:val="docdata"/>
    <w:basedOn w:val="Policepardfaut"/>
  </w:style>
  <w:style w:type="paragraph" w:styleId="NormalWeb">
    <w:name w:val="Normal (Web)"/>
    <w:basedOn w:val="Normal"/>
    <w:uiPriority w:val="99"/>
    <w:semiHidden/>
    <w:unhideWhenUse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u-aims.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agen-europe.com/" TargetMode="External"/><Relationship Id="rId12" Type="http://schemas.openxmlformats.org/officeDocument/2006/relationships/hyperlink" Target="https://www.reseauloc.org/lymphome-cerebral-primitif" TargetMode="Externa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staveroussy.fr/fr/biomede" TargetMode="External"/><Relationship Id="rId5" Type="http://schemas.openxmlformats.org/officeDocument/2006/relationships/footnotes" Target="footnotes.xml"/><Relationship Id="rId10" Type="http://schemas.openxmlformats.org/officeDocument/2006/relationships/hyperlink" Target="https://imaging.ukbiobank.ac.uk/" TargetMode="External"/><Relationship Id="rId4" Type="http://schemas.openxmlformats.org/officeDocument/2006/relationships/webSettings" Target="webSettings.xml"/><Relationship Id="rId9" Type="http://schemas.openxmlformats.org/officeDocument/2006/relationships/hyperlink" Target="https://www.humanconnectome.org/study/hcp-young-adult"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7869</Words>
  <Characters>43285</Characters>
  <Application>Microsoft Office Word</Application>
  <DocSecurity>0</DocSecurity>
  <Lines>360</Lines>
  <Paragraphs>102</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51052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FROUIN Vincent</dc:creator>
  <cp:keywords/>
  <dc:description/>
  <cp:lastModifiedBy>FROUIN Vincent</cp:lastModifiedBy>
  <cp:revision>315</cp:revision>
  <cp:lastPrinted>2020-05-11T16:09:00Z</cp:lastPrinted>
  <dcterms:created xsi:type="dcterms:W3CDTF">2020-05-05T16:14:00Z</dcterms:created>
  <dcterms:modified xsi:type="dcterms:W3CDTF">2020-05-11T16:47:00Z</dcterms:modified>
</cp:coreProperties>
</file>