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Calibri"/>
          <w:b/>
          <w:i w:val="0"/>
          <w:color w:val="2E74B5"/>
          <w:sz w:val="19"/>
        </w:rPr>
        <w:t>ТЕХНИЧЕСКАЯ КОНЦЕПЦИЯ</w:t>
      </w:r>
    </w:p>
    <w:p>
      <w:pPr>
        <w:spacing w:after="100"/>
      </w:pPr>
      <w:r>
        <w:rPr>
          <w:rFonts w:ascii="Calibri" w:hAnsi="Calibri" w:eastAsia="Calibri"/>
          <w:b/>
          <w:i w:val="0"/>
          <w:color w:val="17365D"/>
          <w:sz w:val="50"/>
        </w:rPr>
        <w:t>Идеи развития PSD_ML</w:t>
      </w:r>
    </w:p>
    <w:p>
      <w:pPr>
        <w:spacing w:after="280"/>
      </w:pPr>
      <w:r>
        <w:rPr>
          <w:rFonts w:ascii="Calibri" w:hAnsi="Calibri" w:eastAsia="Calibri"/>
          <w:b w:val="0"/>
          <w:i/>
          <w:color w:val="5B6573"/>
          <w:sz w:val="25"/>
        </w:rPr>
        <w:t>От интерпретируемого латентного представления к адаптивному и переносимому разделению нейтронов и гамма-квантов</w:t>
      </w:r>
    </w:p>
    <w:tbl>
      <w:tblPr>
        <w:tblW w:type="dxa" w:w="9360"/>
        <w:tblLayout w:type="fixed"/>
        <w:tblLook w:firstColumn="1" w:firstRow="1" w:lastColumn="0" w:lastRow="0" w:noHBand="0" w:noVBand="1" w:val="04A0"/>
        <w:tblInd w:w="120" w:type="dxa"/>
        <w:tblBorders>
          <w:top w:val="single" w:sz="7" w:space="0" w:color="B7C7DA"/>
          <w:left w:val="single" w:sz="7" w:space="0" w:color="B7C7DA"/>
          <w:bottom w:val="single" w:sz="7" w:space="0" w:color="B7C7DA"/>
          <w:right w:val="single" w:sz="7" w:space="0" w:color="B7C7DA"/>
          <w:insideH w:val="single" w:sz="7" w:space="0" w:color="B7C7DA"/>
          <w:insideV w:val="single" w:sz="7" w:space="0" w:color="B7C7DA"/>
        </w:tblBorders>
      </w:tblPr>
      <w:tblGrid>
        <w:gridCol w:w="9360"/>
      </w:tblGrid>
      <w:tr>
        <w:trPr>
          <w:cantSplit/>
        </w:trPr>
        <w:tc>
          <w:tcPr>
            <w:tcW w:type="dxa" w:w="9360"/>
            <w:tcMar>
              <w:top w:w="140" w:type="dxa"/>
              <w:start w:w="180" w:type="dxa"/>
              <w:bottom w:w="140" w:type="dxa"/>
              <w:end w:w="180" w:type="dxa"/>
            </w:tcMar>
            <w:vAlign w:val="center"/>
            <w:shd w:fill="F4F6F9"/>
          </w:tcPr>
          <w:p>
            <w:pPr>
              <w:spacing w:after="0" w:line="264" w:lineRule="auto"/>
            </w:pPr>
            <w:r>
              <w:rPr>
                <w:rFonts w:ascii="Calibri" w:hAnsi="Calibri" w:eastAsia="Calibri"/>
                <w:b/>
                <w:i w:val="0"/>
                <w:color w:val="17365D"/>
                <w:sz w:val="22"/>
              </w:rPr>
              <w:t xml:space="preserve">Ключевая идея. </w:t>
            </w:r>
            <w:r>
              <w:rPr>
                <w:rFonts w:ascii="Calibri" w:hAnsi="Calibri" w:eastAsia="Calibri"/>
                <w:b w:val="0"/>
                <w:i w:val="0"/>
                <w:color w:val="222222"/>
                <w:sz w:val="22"/>
              </w:rPr>
              <w:t>Разработать вероятностный PSD-классификатор, который использует всю форму импульса, явно учитывает известные условия измерения и переносится на новые сборки ФЭУ + сцинтиллятор после минимальной калибровки.</w:t>
            </w:r>
          </w:p>
        </w:tc>
      </w:tr>
    </w:tbl>
    <w:p>
      <w:pPr>
        <w:spacing w:after="20"/>
      </w:pPr>
    </w:p>
    <w:tbl>
      <w:tblPr>
        <w:tblW w:type="dxa" w:w="9360"/>
        <w:jc w:val="left"/>
        <w:tblLayout w:type="fixed"/>
        <w:tblLook w:firstColumn="1" w:firstRow="1" w:lastColumn="0" w:lastRow="0" w:noHBand="0" w:noVBand="1" w:val="04A0"/>
        <w:tblInd w:w="120" w:type="dxa"/>
        <w:tblBorders>
          <w:top w:val="single" w:sz="5" w:space="0" w:color="D8E1EC"/>
          <w:left w:val="single" w:sz="5" w:space="0" w:color="D8E1EC"/>
          <w:bottom w:val="single" w:sz="5" w:space="0" w:color="D8E1EC"/>
          <w:right w:val="single" w:sz="5" w:space="0" w:color="D8E1EC"/>
          <w:insideH w:val="single" w:sz="5" w:space="0" w:color="D8E1EC"/>
          <w:insideV w:val="single" w:sz="5" w:space="0" w:color="D8E1EC"/>
        </w:tblBorders>
      </w:tblPr>
      <w:tblGrid>
        <w:gridCol w:w="9360"/>
      </w:tblGrid>
      <w:tr>
        <w:tc>
          <w:tcPr>
            <w:tcW w:type="dxa" w:w="9360"/>
            <w:tcMar>
              <w:top w:w="80" w:type="dxa"/>
              <w:start w:w="120" w:type="dxa"/>
              <w:bottom w:w="80" w:type="dxa"/>
              <w:end w:w="120" w:type="dxa"/>
            </w:tcMar>
            <w:vAlign w:val="center"/>
            <w:shd w:fill="F7F9FC"/>
          </w:tcPr>
          <w:p>
            <w:pPr>
              <w:keepLines/>
              <w:spacing w:before="80" w:after="140"/>
              <w:jc w:val="center"/>
            </w:pPr>
            <w:r>
              <w:rPr>
                <w:rFonts w:ascii="Cambria Math" w:hAnsi="Cambria Math" w:eastAsia="Cambria Math"/>
                <w:b w:val="0"/>
                <w:i w:val="0"/>
                <w:color w:val="17365D"/>
                <w:sz w:val="22"/>
              </w:rPr>
              <w:t>new_PSD(X, c) → [P(γ), P(n), P(noise), P(unknown)]</w:t>
            </w:r>
          </w:p>
        </w:tc>
      </w:tr>
    </w:tbl>
    <w:p>
      <w:pPr>
        <w:spacing w:before="0" w:after="20"/>
      </w:pPr>
    </w:p>
    <w:p>
      <w:pPr>
        <w:pStyle w:val="Heading1"/>
        <w:keepNext/>
      </w:pPr>
      <w:r>
        <w:t>1. Цель проекта</w:t>
      </w:r>
    </w:p>
    <w:p>
      <w:pPr>
        <w:spacing w:before="0" w:after="120" w:line="264" w:lineRule="auto"/>
      </w:pPr>
      <w:r>
        <w:rPr>
          <w:rFonts w:ascii="Calibri" w:hAnsi="Calibri" w:eastAsia="Calibri"/>
          <w:b w:val="0"/>
          <w:i w:val="0"/>
          <w:color w:val="222222"/>
          <w:sz w:val="22"/>
        </w:rPr>
        <w:t>Цель PSD_ML — перейти от одного вручную заданного признака к физически осмысленной модели формы импульса. Модель должна разделять нейтроны и гамма-кванты, оценивать неопределённость решения, учитывать условия эксперимента и сохранять работоспособность при смене детекторной сборки.</w:t>
      </w:r>
    </w:p>
    <w:p>
      <w:pPr>
        <w:spacing w:before="0" w:after="120" w:line="264" w:lineRule="auto"/>
      </w:pPr>
      <w:r>
        <w:rPr>
          <w:rFonts w:ascii="Calibri" w:hAnsi="Calibri" w:eastAsia="Calibri"/>
          <w:b w:val="0"/>
          <w:i w:val="0"/>
          <w:color w:val="222222"/>
          <w:sz w:val="22"/>
        </w:rPr>
        <w:t>Желаемый результат — не просто высокая точность на фиксированном датасете, а устойчивый алгоритм эксплуатации: интерпретируемые признаки, вероятностный выход, контроль дрейфа и явный режим «неизвестно» для сигналов вне области обучения.</w:t>
      </w:r>
    </w:p>
    <w:p>
      <w:pPr>
        <w:pStyle w:val="Heading1"/>
        <w:keepNext/>
      </w:pPr>
      <w:r>
        <w:t>2. Ограничения классического PSD</w:t>
      </w:r>
    </w:p>
    <w:p>
      <w:pPr>
        <w:keepLines/>
        <w:spacing w:before="80" w:after="140"/>
        <w:jc w:val="center"/>
      </w:pPr>
      <w:r>
        <w:rPr>
          <w:rFonts w:ascii="Cambria Math" w:hAnsi="Cambria Math" w:eastAsia="Cambria Math"/>
          <w:b w:val="0"/>
          <w:i w:val="0"/>
          <w:color w:val="17365D"/>
          <w:sz w:val="22"/>
        </w:rPr>
        <w:t>X = (x₁, x₂, …, x₁₄₄) → (Qshort, Qlong) → PSD = (Qlong − Qshort) / Qlong</w:t>
      </w:r>
    </w:p>
    <w:p>
      <w:pPr>
        <w:spacing w:before="0" w:after="120" w:line="264" w:lineRule="auto"/>
      </w:pPr>
      <w:r>
        <w:rPr>
          <w:rFonts w:ascii="Calibri" w:hAnsi="Calibri" w:eastAsia="Calibri"/>
          <w:b w:val="0"/>
          <w:i w:val="0"/>
          <w:color w:val="222222"/>
          <w:sz w:val="22"/>
        </w:rPr>
        <w:t>Классический charge-comparison PSD сжимает 144 отсчёта импульса до одного заранее выбранного отношения интегралов. Это эффективно, когда окно интегрирования и форма хвоста стабильны, но приводит к принципиальным ограничениям:</w:t>
      </w:r>
    </w:p>
    <w:p>
      <w:pPr>
        <w:pStyle w:val="PSDBullet"/>
        <w:spacing w:after="80" w:line="280" w:lineRule="auto"/>
      </w:pPr>
      <w:r>
        <w:rPr>
          <w:rFonts w:ascii="Calibri" w:hAnsi="Calibri" w:eastAsia="Calibri"/>
          <w:b w:val="0"/>
          <w:i w:val="0"/>
          <w:color w:val="222222"/>
          <w:sz w:val="22"/>
        </w:rPr>
        <w:t>теряется часть информации о фронте, многокомпонентном хвосте, временном масштабе и локальном шуме;</w:t>
      </w:r>
    </w:p>
    <w:p>
      <w:pPr>
        <w:pStyle w:val="PSDBullet"/>
        <w:spacing w:after="80" w:line="280" w:lineRule="auto"/>
      </w:pPr>
      <w:r>
        <w:rPr>
          <w:rFonts w:ascii="Calibri" w:hAnsi="Calibri" w:eastAsia="Calibri"/>
          <w:b w:val="0"/>
          <w:i w:val="0"/>
          <w:color w:val="222222"/>
          <w:sz w:val="22"/>
        </w:rPr>
        <w:t>граница разделения зависит от энергии и может ухудшаться в низкоэнергетической области;</w:t>
      </w:r>
    </w:p>
    <w:p>
      <w:pPr>
        <w:pStyle w:val="PSDBullet"/>
        <w:spacing w:after="80" w:line="280" w:lineRule="auto"/>
      </w:pPr>
      <w:r>
        <w:rPr>
          <w:rFonts w:ascii="Calibri" w:hAnsi="Calibri" w:eastAsia="Calibri"/>
          <w:b w:val="0"/>
          <w:i w:val="0"/>
          <w:color w:val="222222"/>
          <w:sz w:val="22"/>
        </w:rPr>
        <w:t>оптимальные окна и пороги дрейфуют с напряжением U, температурой T, магнитным полем B и электроникой;</w:t>
      </w:r>
    </w:p>
    <w:p>
      <w:pPr>
        <w:pStyle w:val="PSDBullet"/>
        <w:spacing w:after="80" w:line="280" w:lineRule="auto"/>
      </w:pPr>
      <w:r>
        <w:rPr>
          <w:rFonts w:ascii="Calibri" w:hAnsi="Calibri" w:eastAsia="Calibri"/>
          <w:b w:val="0"/>
          <w:i w:val="0"/>
          <w:color w:val="222222"/>
          <w:sz w:val="22"/>
        </w:rPr>
        <w:t>параметры, подобранные для одной сборки, не обязаны переноситься на другой ФЭУ или сцинтиллятор;</w:t>
      </w:r>
    </w:p>
    <w:p>
      <w:pPr>
        <w:pStyle w:val="PSDBullet"/>
        <w:spacing w:after="80" w:line="280" w:lineRule="auto"/>
      </w:pPr>
      <w:r>
        <w:rPr>
          <w:rFonts w:ascii="Calibri" w:hAnsi="Calibri" w:eastAsia="Calibri"/>
          <w:b w:val="0"/>
          <w:i w:val="0"/>
          <w:color w:val="222222"/>
          <w:sz w:val="22"/>
        </w:rPr>
        <w:t>обычный порог не выражает уверенность и часто вынуждает классифицировать аномальный импульс как γ или n.</w:t>
      </w:r>
    </w:p>
    <w:p>
      <w:pPr>
        <w:pStyle w:val="Heading1"/>
        <w:keepNext/>
      </w:pPr>
      <w:r>
        <w:t>3. Идея new_PSD</w:t>
      </w:r>
    </w:p>
    <w:p>
      <w:pPr>
        <w:spacing w:before="0" w:after="120" w:line="264" w:lineRule="auto"/>
      </w:pPr>
      <w:r>
        <w:rPr>
          <w:rFonts w:ascii="Calibri" w:hAnsi="Calibri" w:eastAsia="Calibri"/>
          <w:b w:val="0"/>
          <w:i w:val="0"/>
          <w:color w:val="222222"/>
          <w:sz w:val="22"/>
        </w:rPr>
        <w:t>Вместо скалярного отношения интегралов предлагается обучаемое отображение всей осциллограммы и контекста измерения в распределение вероятностей классов:</w:t>
      </w:r>
    </w:p>
    <w:tbl>
      <w:tblPr>
        <w:tblW w:type="dxa" w:w="9360"/>
        <w:jc w:val="left"/>
        <w:tblLayout w:type="fixed"/>
        <w:tblLook w:firstColumn="1" w:firstRow="1" w:lastColumn="0" w:lastRow="0" w:noHBand="0" w:noVBand="1" w:val="04A0"/>
        <w:tblInd w:w="120" w:type="dxa"/>
        <w:tblBorders>
          <w:top w:val="single" w:sz="5" w:space="0" w:color="D8E1EC"/>
          <w:left w:val="single" w:sz="5" w:space="0" w:color="D8E1EC"/>
          <w:bottom w:val="single" w:sz="5" w:space="0" w:color="D8E1EC"/>
          <w:right w:val="single" w:sz="5" w:space="0" w:color="D8E1EC"/>
          <w:insideH w:val="single" w:sz="5" w:space="0" w:color="D8E1EC"/>
          <w:insideV w:val="single" w:sz="5" w:space="0" w:color="D8E1EC"/>
        </w:tblBorders>
      </w:tblPr>
      <w:tblGrid>
        <w:gridCol w:w="9360"/>
      </w:tblGrid>
      <w:tr>
        <w:tc>
          <w:tcPr>
            <w:tcW w:type="dxa" w:w="9360"/>
            <w:tcMar>
              <w:top w:w="80" w:type="dxa"/>
              <w:start w:w="120" w:type="dxa"/>
              <w:bottom w:w="80" w:type="dxa"/>
              <w:end w:w="120" w:type="dxa"/>
            </w:tcMar>
            <w:vAlign w:val="center"/>
            <w:shd w:fill="F7F9FC"/>
          </w:tcPr>
          <w:p>
            <w:pPr>
              <w:keepLines/>
              <w:spacing w:before="80" w:after="140"/>
              <w:jc w:val="center"/>
            </w:pPr>
            <w:r>
              <w:rPr>
                <w:rFonts w:ascii="Cambria Math" w:hAnsi="Cambria Math" w:eastAsia="Cambria Math"/>
                <w:b w:val="0"/>
                <w:i w:val="0"/>
                <w:color w:val="17365D"/>
                <w:sz w:val="22"/>
              </w:rPr>
              <w:t>new_PSD(X, c) = P(y | X, c),    y ∈ {γ, n, noise, unknown}</w:t>
            </w:r>
          </w:p>
        </w:tc>
      </w:tr>
    </w:tbl>
    <w:p>
      <w:pPr>
        <w:spacing w:before="0" w:after="20"/>
      </w:pPr>
    </w:p>
    <w:p>
      <w:pPr>
        <w:spacing w:before="0" w:after="120" w:line="264" w:lineRule="auto"/>
      </w:pPr>
      <w:r>
        <w:rPr>
          <w:rFonts w:ascii="Calibri" w:hAnsi="Calibri" w:eastAsia="Calibri"/>
          <w:b w:val="0"/>
          <w:i w:val="0"/>
          <w:color w:val="222222"/>
          <w:sz w:val="22"/>
        </w:rPr>
        <w:t>Здесь X ∈ ℝ¹⁴⁴ — конкретный измеренный импульс, а c — известный контекст: энергия или её оценка, напряжение, температура, поле, частота дискретизации, тип ФЭУ, сцинтиллятора и электроники. Выходом служат калиброванные вероятности, сумма которых равна единице.</w:t>
      </w:r>
    </w:p>
    <w:p>
      <w:pPr>
        <w:spacing w:before="0" w:after="120" w:line="264" w:lineRule="auto"/>
      </w:pPr>
      <w:r>
        <w:rPr>
          <w:rFonts w:ascii="Calibri" w:hAnsi="Calibri" w:eastAsia="Calibri"/>
          <w:b w:val="0"/>
          <w:i w:val="0"/>
          <w:color w:val="222222"/>
          <w:sz w:val="22"/>
        </w:rPr>
        <w:t>Класс unknown следует трактовать шире, чем ещё один тип шума. Это механизм отказа от решения для выбросов, насыщенных или повреждённых импульсов и новых режимов, далёких от обучающего распределения. Его качество необходимо проверять отдельными OOD-тестами.</w:t>
      </w:r>
    </w:p>
    <w:p>
      <w:pPr>
        <w:pStyle w:val="Heading1"/>
        <w:keepNext/>
      </w:pPr>
      <w:r>
        <w:t>4. AutoEncoder и VAE: строгие обозначения</w:t>
      </w:r>
    </w:p>
    <w:p>
      <w:pPr>
        <w:pStyle w:val="Heading2"/>
        <w:keepNext/>
      </w:pPr>
      <w:r>
        <w:t>4.1. Детерминированный AutoEncoder</w:t>
      </w:r>
    </w:p>
    <w:p>
      <w:pPr>
        <w:spacing w:before="0" w:after="120" w:line="264" w:lineRule="auto"/>
      </w:pPr>
      <w:r>
        <w:rPr>
          <w:rFonts w:ascii="Calibri" w:hAnsi="Calibri" w:eastAsia="Calibri"/>
          <w:b w:val="0"/>
          <w:i w:val="0"/>
          <w:color w:val="222222"/>
          <w:sz w:val="22"/>
        </w:rPr>
        <w:t>Пусть один импульс X = (x₁, …, x₁₄₄) ∈ ℝ¹⁴⁴. Энкодер fθ детерминированно отображает его в точку z ∈ ℝᵈ, а декодер gφ восстанавливает импульс:</w:t>
      </w:r>
    </w:p>
    <w:p>
      <w:pPr>
        <w:keepLines/>
        <w:spacing w:before="80" w:after="140"/>
        <w:jc w:val="center"/>
      </w:pPr>
      <w:r>
        <w:rPr>
          <w:rFonts w:ascii="Cambria Math" w:hAnsi="Cambria Math" w:eastAsia="Cambria Math"/>
          <w:b w:val="0"/>
          <w:i w:val="0"/>
          <w:color w:val="17365D"/>
          <w:sz w:val="22"/>
        </w:rPr>
        <w:t>z = fθ(X),    X̂ = gφ(z),    fθ: ℝ¹⁴⁴ → ℝᵈ</w:t>
      </w:r>
    </w:p>
    <w:p>
      <w:pPr>
        <w:spacing w:before="0" w:after="120" w:line="264" w:lineRule="auto"/>
      </w:pPr>
      <w:r>
        <w:rPr>
          <w:rFonts w:ascii="Calibri" w:hAnsi="Calibri" w:eastAsia="Calibri"/>
          <w:b w:val="0"/>
          <w:i w:val="0"/>
          <w:color w:val="222222"/>
          <w:sz w:val="22"/>
        </w:rPr>
        <w:t>Для фиксированных весов один и тот же X всегда даёт одну и ту же точку z. Энкодер и декодер — две отдельные нейросети; энкодер не является аналитически полученной обратной функцией декодера. Их веса θ и φ обучаются совместно по ошибке реконструкции.</w:t>
      </w:r>
    </w:p>
    <w:p>
      <w:pPr>
        <w:pStyle w:val="Heading2"/>
        <w:keepNext/>
      </w:pPr>
      <w:r>
        <w:t>4.2. Variational AutoEncoder</w:t>
      </w:r>
    </w:p>
    <w:p>
      <w:pPr>
        <w:spacing w:before="0" w:after="120" w:line="264" w:lineRule="auto"/>
      </w:pPr>
      <w:r>
        <w:rPr>
          <w:rFonts w:ascii="Calibri" w:hAnsi="Calibri" w:eastAsia="Calibri"/>
          <w:b w:val="0"/>
          <w:i w:val="0"/>
          <w:color w:val="222222"/>
          <w:sz w:val="22"/>
        </w:rPr>
        <w:t>В VAE латентный вектор z вводится разработчиком как скрытая случайная переменная генеративной модели. Задаются априорное распределение p(z), обычно 𝒩(0, I), и условная модель данных pφ(X | z). Истинное апостериорное p(z | X) обычно вычислить трудно, поэтому энкодер аппроксимирует его распределением qθ(z | X):</w:t>
      </w:r>
    </w:p>
    <w:tbl>
      <w:tblPr>
        <w:tblW w:type="dxa" w:w="9360"/>
        <w:jc w:val="left"/>
        <w:tblLayout w:type="fixed"/>
        <w:tblLook w:firstColumn="1" w:firstRow="1" w:lastColumn="0" w:lastRow="0" w:noHBand="0" w:noVBand="1" w:val="04A0"/>
        <w:tblInd w:w="120" w:type="dxa"/>
        <w:tblBorders>
          <w:top w:val="single" w:sz="5" w:space="0" w:color="D8E1EC"/>
          <w:left w:val="single" w:sz="5" w:space="0" w:color="D8E1EC"/>
          <w:bottom w:val="single" w:sz="5" w:space="0" w:color="D8E1EC"/>
          <w:right w:val="single" w:sz="5" w:space="0" w:color="D8E1EC"/>
          <w:insideH w:val="single" w:sz="5" w:space="0" w:color="D8E1EC"/>
          <w:insideV w:val="single" w:sz="5" w:space="0" w:color="D8E1EC"/>
        </w:tblBorders>
      </w:tblPr>
      <w:tblGrid>
        <w:gridCol w:w="9360"/>
      </w:tblGrid>
      <w:tr>
        <w:tc>
          <w:tcPr>
            <w:tcW w:type="dxa" w:w="9360"/>
            <w:tcMar>
              <w:top w:w="80" w:type="dxa"/>
              <w:start w:w="120" w:type="dxa"/>
              <w:bottom w:w="80" w:type="dxa"/>
              <w:end w:w="120" w:type="dxa"/>
            </w:tcMar>
            <w:vAlign w:val="center"/>
            <w:shd w:fill="F7F9FC"/>
          </w:tcPr>
          <w:p>
            <w:pPr>
              <w:keepLines/>
              <w:spacing w:before="80" w:after="140"/>
              <w:jc w:val="center"/>
            </w:pPr>
            <w:r>
              <w:rPr>
                <w:rFonts w:ascii="Cambria Math" w:hAnsi="Cambria Math" w:eastAsia="Cambria Math"/>
                <w:b w:val="0"/>
                <w:i w:val="0"/>
                <w:color w:val="17365D"/>
                <w:sz w:val="22"/>
              </w:rPr>
              <w:t>qθ(z | X) = 𝒩( μθ(X), diag(σ²θ(X)) )</w:t>
            </w:r>
          </w:p>
        </w:tc>
      </w:tr>
    </w:tbl>
    <w:p>
      <w:pPr>
        <w:spacing w:before="0" w:after="20"/>
      </w:pPr>
    </w:p>
    <w:p>
      <w:pPr>
        <w:spacing w:before="0" w:after="120" w:line="264" w:lineRule="auto"/>
      </w:pPr>
      <w:r>
        <w:rPr>
          <w:rFonts w:ascii="Calibri" w:hAnsi="Calibri" w:eastAsia="Calibri"/>
          <w:b w:val="0"/>
          <w:i w:val="0"/>
          <w:color w:val="222222"/>
          <w:sz w:val="22"/>
        </w:rPr>
        <w:t>Векторы μθ(X) и σθ(X) — выходы энкодера для данного конкретного импульса X. Они не равны среднему и стандартному отклонению отсчётов xᵢ. В частности,</w:t>
      </w:r>
    </w:p>
    <w:p>
      <w:pPr>
        <w:keepLines/>
        <w:spacing w:before="80" w:after="140"/>
        <w:jc w:val="center"/>
      </w:pPr>
      <w:r>
        <w:rPr>
          <w:rFonts w:ascii="Cambria Math" w:hAnsi="Cambria Math" w:eastAsia="Cambria Math"/>
          <w:b w:val="0"/>
          <w:i w:val="0"/>
          <w:color w:val="17365D"/>
          <w:sz w:val="22"/>
        </w:rPr>
        <w:t>μθ(X) ≠ (1/144) Σᵢ xᵢ;    μθ(X) — параметр распределения qθ(z | X).</w:t>
      </w:r>
    </w:p>
    <w:p>
      <w:pPr>
        <w:spacing w:before="0" w:after="120" w:line="264" w:lineRule="auto"/>
      </w:pPr>
      <w:r>
        <w:rPr>
          <w:rFonts w:ascii="Calibri" w:hAnsi="Calibri" w:eastAsia="Calibri"/>
          <w:b w:val="0"/>
          <w:i w:val="0"/>
          <w:color w:val="222222"/>
          <w:sz w:val="22"/>
        </w:rPr>
        <w:t>Компонента μj(X) интерпретируется как центр аппроксимированного условного распределения латентной координаты zj при наблюдаемом X; σj(X) описывает его ширину. На практике сеть часто выдаёт log σ² для численной устойчивости.</w:t>
      </w:r>
    </w:p>
    <w:p>
      <w:pPr>
        <w:pStyle w:val="Heading2"/>
        <w:keepNext/>
      </w:pPr>
      <w:r>
        <w:t>4.3. Сэмплирование и обучение</w:t>
      </w:r>
    </w:p>
    <w:p>
      <w:pPr>
        <w:spacing w:before="0" w:after="120" w:line="264" w:lineRule="auto"/>
      </w:pPr>
      <w:r>
        <w:rPr>
          <w:rFonts w:ascii="Calibri" w:hAnsi="Calibri" w:eastAsia="Calibri"/>
          <w:b w:val="0"/>
          <w:i w:val="0"/>
          <w:color w:val="222222"/>
          <w:sz w:val="22"/>
        </w:rPr>
        <w:t>Латентная реализация строится с помощью репараметризации:</w:t>
      </w:r>
    </w:p>
    <w:p>
      <w:pPr>
        <w:keepLines/>
        <w:spacing w:before="80" w:after="140"/>
        <w:jc w:val="center"/>
      </w:pPr>
      <w:r>
        <w:rPr>
          <w:rFonts w:ascii="Cambria Math" w:hAnsi="Cambria Math" w:eastAsia="Cambria Math"/>
          <w:b w:val="0"/>
          <w:i w:val="0"/>
          <w:color w:val="17365D"/>
          <w:sz w:val="22"/>
        </w:rPr>
        <w:t>ε ∼ 𝒩(0, I),    z = μθ(X) + σθ(X) ⊙ ε,    X̂ ∼ pφ(X | z)</w:t>
      </w:r>
    </w:p>
    <w:p>
      <w:pPr>
        <w:spacing w:before="0" w:after="120" w:line="264" w:lineRule="auto"/>
      </w:pPr>
      <w:r>
        <w:rPr>
          <w:rFonts w:ascii="Calibri" w:hAnsi="Calibri" w:eastAsia="Calibri"/>
          <w:b w:val="0"/>
          <w:i w:val="0"/>
          <w:color w:val="222222"/>
          <w:sz w:val="22"/>
        </w:rPr>
        <w:t>VAE не перебирает все возможные z. Для импульса выполняется один проход энкодера, берётся одна или несколько выборок ε, вычисляется реконструкция, после чего градиент меняет веса сетей. Типичная функция потерь для одного X:</w:t>
      </w:r>
    </w:p>
    <w:p>
      <w:pPr>
        <w:keepLines/>
        <w:spacing w:before="80" w:after="140"/>
        <w:jc w:val="center"/>
      </w:pPr>
      <w:r>
        <w:rPr>
          <w:rFonts w:ascii="Cambria Math" w:hAnsi="Cambria Math" w:eastAsia="Cambria Math"/>
          <w:b w:val="0"/>
          <w:i w:val="0"/>
          <w:color w:val="17365D"/>
          <w:sz w:val="22"/>
        </w:rPr>
        <w:t>ℒVAE(X) = −E qθ(z|X)[log pφ(X|z)] + β DKL(qθ(z|X) ∥ p(z))</w:t>
      </w:r>
    </w:p>
    <w:p>
      <w:pPr>
        <w:spacing w:before="0" w:after="120" w:line="264" w:lineRule="auto"/>
      </w:pPr>
      <w:r>
        <w:rPr>
          <w:rFonts w:ascii="Calibri" w:hAnsi="Calibri" w:eastAsia="Calibri"/>
          <w:b w:val="0"/>
          <w:i w:val="0"/>
          <w:color w:val="222222"/>
          <w:sz w:val="22"/>
        </w:rPr>
        <w:t>Первое слагаемое отвечает за реконструкцию, второе регуляризует латентное пространство относительно априорного p(z). Коэффициент β управляет компромиссом между точностью реконструкции и регулярностью/разделённостью представления.</w:t>
      </w:r>
    </w:p>
    <w:p>
      <w:pPr>
        <w:pStyle w:val="Heading2"/>
        <w:keepNext/>
      </w:pPr>
      <w:r>
        <w:t>4.4. Размерность латентного пространства</w:t>
      </w:r>
    </w:p>
    <w:p>
      <w:pPr>
        <w:spacing w:before="0" w:after="120" w:line="264" w:lineRule="auto"/>
      </w:pPr>
      <w:r>
        <w:rPr>
          <w:rFonts w:ascii="Calibri" w:hAnsi="Calibri" w:eastAsia="Calibri"/>
          <w:b w:val="0"/>
          <w:i w:val="0"/>
          <w:color w:val="222222"/>
          <w:sz w:val="22"/>
        </w:rPr>
        <w:t>Размерность d в z = (z₁, …, zᵈ) задаётся пользователем как гиперпараметр. Число 3 не следует из 144 отсчётов и не имеет заранее заданного физического смысла. Малое d усиливает информационное «бутылочное горлышко» и облегчает анализ; большое d обычно улучшает реконструкцию, но повышает риск распределить физический фактор по многим координатам.</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900"/>
        <w:gridCol w:w="3300"/>
        <w:gridCol w:w="4160"/>
      </w:tblGrid>
      <w:tr>
        <w:trPr>
          <w:tblHeader/>
          <w:cantSplit/>
        </w:trPr>
        <w:tc>
          <w:tcPr>
            <w:tcW w:type="dxa" w:w="190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Свойство</w:t>
            </w:r>
          </w:p>
        </w:tc>
        <w:tc>
          <w:tcPr>
            <w:tcW w:type="dxa" w:w="330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AutoEncoder</w:t>
            </w:r>
          </w:p>
        </w:tc>
        <w:tc>
          <w:tcPr>
            <w:tcW w:type="dxa" w:w="416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VAE</w:t>
            </w:r>
          </w:p>
        </w:tc>
      </w:tr>
      <w:tr>
        <w:trPr>
          <w:cantSplit/>
        </w:trPr>
        <w:tc>
          <w:tcPr>
            <w:tcW w:type="dxa" w:w="1900"/>
          </w:tcPr>
          <w:p>
            <w:pPr>
              <w:spacing w:after="0" w:line="252" w:lineRule="auto"/>
            </w:pPr>
            <w:r>
              <w:rPr>
                <w:rFonts w:ascii="Calibri" w:hAnsi="Calibri" w:eastAsia="Calibri"/>
                <w:b w:val="0"/>
                <w:i w:val="0"/>
                <w:color w:val="222222"/>
                <w:sz w:val="20"/>
              </w:rPr>
              <w:t>Представление импульса</w:t>
            </w:r>
          </w:p>
        </w:tc>
        <w:tc>
          <w:tcPr>
            <w:tcW w:type="dxa" w:w="3300"/>
          </w:tcPr>
          <w:p>
            <w:pPr>
              <w:spacing w:after="0" w:line="252" w:lineRule="auto"/>
            </w:pPr>
            <w:r>
              <w:rPr>
                <w:rFonts w:ascii="Calibri" w:hAnsi="Calibri" w:eastAsia="Calibri"/>
                <w:b w:val="0"/>
                <w:i w:val="0"/>
                <w:color w:val="222222"/>
                <w:sz w:val="20"/>
              </w:rPr>
              <w:t>Точка z = fθ(X)</w:t>
            </w:r>
          </w:p>
        </w:tc>
        <w:tc>
          <w:tcPr>
            <w:tcW w:type="dxa" w:w="4160"/>
          </w:tcPr>
          <w:p>
            <w:pPr>
              <w:spacing w:after="0" w:line="252" w:lineRule="auto"/>
            </w:pPr>
            <w:r>
              <w:rPr>
                <w:rFonts w:ascii="Calibri" w:hAnsi="Calibri" w:eastAsia="Calibri"/>
                <w:b w:val="0"/>
                <w:i w:val="0"/>
                <w:color w:val="222222"/>
                <w:sz w:val="20"/>
              </w:rPr>
              <w:t>Распределение qθ(z | X)</w:t>
            </w:r>
          </w:p>
        </w:tc>
      </w:tr>
      <w:tr>
        <w:trPr>
          <w:cantSplit/>
        </w:trPr>
        <w:tc>
          <w:tcPr>
            <w:tcW w:type="dxa" w:w="1900"/>
          </w:tcPr>
          <w:p>
            <w:pPr>
              <w:spacing w:after="0" w:line="252" w:lineRule="auto"/>
            </w:pPr>
            <w:r>
              <w:rPr>
                <w:rFonts w:ascii="Calibri" w:hAnsi="Calibri" w:eastAsia="Calibri"/>
                <w:b w:val="0"/>
                <w:i w:val="0"/>
                <w:color w:val="222222"/>
                <w:sz w:val="20"/>
              </w:rPr>
              <w:t>Выход энкодера</w:t>
            </w:r>
          </w:p>
        </w:tc>
        <w:tc>
          <w:tcPr>
            <w:tcW w:type="dxa" w:w="3300"/>
          </w:tcPr>
          <w:p>
            <w:pPr>
              <w:spacing w:after="0" w:line="252" w:lineRule="auto"/>
            </w:pPr>
            <w:r>
              <w:rPr>
                <w:rFonts w:ascii="Calibri" w:hAnsi="Calibri" w:eastAsia="Calibri"/>
                <w:b w:val="0"/>
                <w:i w:val="0"/>
                <w:color w:val="222222"/>
                <w:sz w:val="20"/>
              </w:rPr>
              <w:t>d координат z</w:t>
            </w:r>
          </w:p>
        </w:tc>
        <w:tc>
          <w:tcPr>
            <w:tcW w:type="dxa" w:w="4160"/>
          </w:tcPr>
          <w:p>
            <w:pPr>
              <w:spacing w:after="0" w:line="252" w:lineRule="auto"/>
            </w:pPr>
            <w:r>
              <w:rPr>
                <w:rFonts w:ascii="Calibri" w:hAnsi="Calibri" w:eastAsia="Calibri"/>
                <w:b w:val="0"/>
                <w:i w:val="0"/>
                <w:color w:val="222222"/>
                <w:sz w:val="20"/>
              </w:rPr>
              <w:t>d значений μ и d значений σ (или log σ²)</w:t>
            </w:r>
          </w:p>
        </w:tc>
      </w:tr>
      <w:tr>
        <w:trPr>
          <w:cantSplit/>
        </w:trPr>
        <w:tc>
          <w:tcPr>
            <w:tcW w:type="dxa" w:w="1900"/>
          </w:tcPr>
          <w:p>
            <w:pPr>
              <w:spacing w:after="0" w:line="252" w:lineRule="auto"/>
            </w:pPr>
            <w:r>
              <w:rPr>
                <w:rFonts w:ascii="Calibri" w:hAnsi="Calibri" w:eastAsia="Calibri"/>
                <w:b w:val="0"/>
                <w:i w:val="0"/>
                <w:color w:val="222222"/>
                <w:sz w:val="20"/>
              </w:rPr>
              <w:t>Случайность</w:t>
            </w:r>
          </w:p>
        </w:tc>
        <w:tc>
          <w:tcPr>
            <w:tcW w:type="dxa" w:w="3300"/>
          </w:tcPr>
          <w:p>
            <w:pPr>
              <w:spacing w:after="0" w:line="252" w:lineRule="auto"/>
            </w:pPr>
            <w:r>
              <w:rPr>
                <w:rFonts w:ascii="Calibri" w:hAnsi="Calibri" w:eastAsia="Calibri"/>
                <w:b w:val="0"/>
                <w:i w:val="0"/>
                <w:color w:val="222222"/>
                <w:sz w:val="20"/>
              </w:rPr>
              <w:t>Нет при инференсе</w:t>
            </w:r>
          </w:p>
        </w:tc>
        <w:tc>
          <w:tcPr>
            <w:tcW w:type="dxa" w:w="4160"/>
          </w:tcPr>
          <w:p>
            <w:pPr>
              <w:spacing w:after="0" w:line="252" w:lineRule="auto"/>
            </w:pPr>
            <w:r>
              <w:rPr>
                <w:rFonts w:ascii="Calibri" w:hAnsi="Calibri" w:eastAsia="Calibri"/>
                <w:b w:val="0"/>
                <w:i w:val="0"/>
                <w:color w:val="222222"/>
                <w:sz w:val="20"/>
              </w:rPr>
              <w:t>z сэмплируется; для стабильного признака можно использовать μ(X)</w:t>
            </w:r>
          </w:p>
        </w:tc>
      </w:tr>
      <w:tr>
        <w:trPr>
          <w:cantSplit/>
        </w:trPr>
        <w:tc>
          <w:tcPr>
            <w:tcW w:type="dxa" w:w="1900"/>
          </w:tcPr>
          <w:p>
            <w:pPr>
              <w:spacing w:after="0" w:line="252" w:lineRule="auto"/>
            </w:pPr>
            <w:r>
              <w:rPr>
                <w:rFonts w:ascii="Calibri" w:hAnsi="Calibri" w:eastAsia="Calibri"/>
                <w:b w:val="0"/>
                <w:i w:val="0"/>
                <w:color w:val="222222"/>
                <w:sz w:val="20"/>
              </w:rPr>
              <w:t>Регуляризация</w:t>
            </w:r>
          </w:p>
        </w:tc>
        <w:tc>
          <w:tcPr>
            <w:tcW w:type="dxa" w:w="3300"/>
          </w:tcPr>
          <w:p>
            <w:pPr>
              <w:spacing w:after="0" w:line="252" w:lineRule="auto"/>
            </w:pPr>
            <w:r>
              <w:rPr>
                <w:rFonts w:ascii="Calibri" w:hAnsi="Calibri" w:eastAsia="Calibri"/>
                <w:b w:val="0"/>
                <w:i w:val="0"/>
                <w:color w:val="222222"/>
                <w:sz w:val="20"/>
              </w:rPr>
              <w:t>Зависит от выбранной архитектуры</w:t>
            </w:r>
          </w:p>
        </w:tc>
        <w:tc>
          <w:tcPr>
            <w:tcW w:type="dxa" w:w="4160"/>
          </w:tcPr>
          <w:p>
            <w:pPr>
              <w:spacing w:after="0" w:line="252" w:lineRule="auto"/>
            </w:pPr>
            <w:r>
              <w:rPr>
                <w:rFonts w:ascii="Calibri" w:hAnsi="Calibri" w:eastAsia="Calibri"/>
                <w:b w:val="0"/>
                <w:i w:val="0"/>
                <w:color w:val="222222"/>
                <w:sz w:val="20"/>
              </w:rPr>
              <w:t>KL-слагаемое приближает qθ(z | X) к p(z)</w:t>
            </w:r>
          </w:p>
        </w:tc>
      </w:tr>
      <w:tr>
        <w:trPr>
          <w:cantSplit/>
        </w:trPr>
        <w:tc>
          <w:tcPr>
            <w:tcW w:type="dxa" w:w="1900"/>
          </w:tcPr>
          <w:p>
            <w:pPr>
              <w:spacing w:after="0" w:line="252" w:lineRule="auto"/>
            </w:pPr>
            <w:r>
              <w:rPr>
                <w:rFonts w:ascii="Calibri" w:hAnsi="Calibri" w:eastAsia="Calibri"/>
                <w:b w:val="0"/>
                <w:i w:val="0"/>
                <w:color w:val="222222"/>
                <w:sz w:val="20"/>
              </w:rPr>
              <w:t>Интерпретируемость</w:t>
            </w:r>
          </w:p>
        </w:tc>
        <w:tc>
          <w:tcPr>
            <w:tcW w:type="dxa" w:w="3300"/>
          </w:tcPr>
          <w:p>
            <w:pPr>
              <w:spacing w:after="0" w:line="252" w:lineRule="auto"/>
            </w:pPr>
            <w:r>
              <w:rPr>
                <w:rFonts w:ascii="Calibri" w:hAnsi="Calibri" w:eastAsia="Calibri"/>
                <w:b w:val="0"/>
                <w:i w:val="0"/>
                <w:color w:val="222222"/>
                <w:sz w:val="20"/>
              </w:rPr>
              <w:t>Не гарантируется</w:t>
            </w:r>
          </w:p>
        </w:tc>
        <w:tc>
          <w:tcPr>
            <w:tcW w:type="dxa" w:w="4160"/>
          </w:tcPr>
          <w:p>
            <w:pPr>
              <w:spacing w:after="0" w:line="252" w:lineRule="auto"/>
            </w:pPr>
            <w:r>
              <w:rPr>
                <w:rFonts w:ascii="Calibri" w:hAnsi="Calibri" w:eastAsia="Calibri"/>
                <w:b w:val="0"/>
                <w:i w:val="0"/>
                <w:color w:val="222222"/>
                <w:sz w:val="20"/>
              </w:rPr>
              <w:t>Не гарантируется; требует специальных ограничений и проверок</w:t>
            </w:r>
          </w:p>
        </w:tc>
      </w:tr>
    </w:tbl>
    <w:p>
      <w:pPr>
        <w:spacing w:after="40"/>
      </w:pPr>
    </w:p>
    <w:p>
      <w:pPr>
        <w:pStyle w:val="Heading1"/>
        <w:keepNext/>
      </w:pPr>
      <w:r>
        <w:t>5. Ограничения стандартного VAE</w:t>
      </w:r>
    </w:p>
    <w:p>
      <w:pPr>
        <w:spacing w:before="0" w:after="120" w:line="264" w:lineRule="auto"/>
      </w:pPr>
      <w:r>
        <w:rPr>
          <w:rFonts w:ascii="Calibri" w:hAnsi="Calibri" w:eastAsia="Calibri"/>
          <w:b w:val="0"/>
          <w:i w:val="0"/>
          <w:color w:val="222222"/>
          <w:sz w:val="22"/>
        </w:rPr>
        <w:t>Стандартный VAE оптимизирует реконструкцию X и регулярность латентного пространства, но не знает физической причинности. Поэтому латентные координаты могут кодировать произвольные смеси факторов:</w:t>
      </w:r>
    </w:p>
    <w:p>
      <w:pPr>
        <w:keepLines/>
        <w:spacing w:before="80" w:after="140"/>
        <w:jc w:val="center"/>
      </w:pPr>
      <w:r>
        <w:rPr>
          <w:rFonts w:ascii="Cambria Math" w:hAnsi="Cambria Math" w:eastAsia="Cambria Math"/>
          <w:b w:val="0"/>
          <w:i w:val="0"/>
          <w:color w:val="17365D"/>
          <w:sz w:val="22"/>
        </w:rPr>
        <w:t>zj = fj(y, E, detector, U, T, B, baseline, noise, run, …)</w:t>
      </w:r>
    </w:p>
    <w:p>
      <w:pPr>
        <w:pStyle w:val="PSDBullet"/>
        <w:spacing w:after="80" w:line="280" w:lineRule="auto"/>
      </w:pPr>
      <w:r>
        <w:rPr>
          <w:rFonts w:ascii="Calibri" w:hAnsi="Calibri" w:eastAsia="Calibri"/>
          <w:b w:val="0"/>
          <w:i w:val="0"/>
          <w:color w:val="222222"/>
          <w:sz w:val="22"/>
        </w:rPr>
        <w:t>перестановка или вращение латентных осей может дать статистически эквивалентное решение;</w:t>
      </w:r>
    </w:p>
    <w:p>
      <w:pPr>
        <w:pStyle w:val="PSDBullet"/>
        <w:spacing w:after="80" w:line="280" w:lineRule="auto"/>
      </w:pPr>
      <w:r>
        <w:rPr>
          <w:rFonts w:ascii="Calibri" w:hAnsi="Calibri" w:eastAsia="Calibri"/>
          <w:b w:val="0"/>
          <w:i w:val="0"/>
          <w:color w:val="222222"/>
          <w:sz w:val="22"/>
        </w:rPr>
        <w:t>высокая корреляция одной координаты с PSD не доказывает, что она описывает только хвост или тип частицы;</w:t>
      </w:r>
    </w:p>
    <w:p>
      <w:pPr>
        <w:pStyle w:val="PSDBullet"/>
        <w:spacing w:after="80" w:line="280" w:lineRule="auto"/>
      </w:pPr>
      <w:r>
        <w:rPr>
          <w:rFonts w:ascii="Calibri" w:hAnsi="Calibri" w:eastAsia="Calibri"/>
          <w:b w:val="0"/>
          <w:i w:val="0"/>
          <w:color w:val="222222"/>
          <w:sz w:val="22"/>
        </w:rPr>
        <w:t>малое σj(X) не является физической погрешностью измерения: это неопределённость внутри выбранной аппроксимации qθ;</w:t>
      </w:r>
    </w:p>
    <w:p>
      <w:pPr>
        <w:pStyle w:val="PSDBullet"/>
        <w:spacing w:after="80" w:line="280" w:lineRule="auto"/>
      </w:pPr>
      <w:r>
        <w:rPr>
          <w:rFonts w:ascii="Calibri" w:hAnsi="Calibri" w:eastAsia="Calibri"/>
          <w:b w:val="0"/>
          <w:i w:val="0"/>
          <w:color w:val="222222"/>
          <w:sz w:val="22"/>
        </w:rPr>
        <w:t>хорошая реконструкция не гарантирует хорошее разделение γ/n, калибровку вероятностей или перенос на новый детектор;</w:t>
      </w:r>
    </w:p>
    <w:p>
      <w:pPr>
        <w:pStyle w:val="PSDBullet"/>
        <w:spacing w:after="80" w:line="280" w:lineRule="auto"/>
      </w:pPr>
      <w:r>
        <w:rPr>
          <w:rFonts w:ascii="Calibri" w:hAnsi="Calibri" w:eastAsia="Calibri"/>
          <w:b w:val="0"/>
          <w:i w:val="0"/>
          <w:color w:val="222222"/>
          <w:sz w:val="22"/>
        </w:rPr>
        <w:t>если источник, температура, детектор или запуск коррелируют с классом, модель может использовать этот shortcut.</w:t>
      </w:r>
    </w:p>
    <w:tbl>
      <w:tblPr>
        <w:tblW w:type="dxa" w:w="9360"/>
        <w:tblLayout w:type="fixed"/>
        <w:tblLook w:firstColumn="1" w:firstRow="1" w:lastColumn="0" w:lastRow="0" w:noHBand="0" w:noVBand="1" w:val="04A0"/>
        <w:tblInd w:w="120" w:type="dxa"/>
        <w:tblBorders>
          <w:top w:val="single" w:sz="7" w:space="0" w:color="B7C7DA"/>
          <w:left w:val="single" w:sz="7" w:space="0" w:color="B7C7DA"/>
          <w:bottom w:val="single" w:sz="7" w:space="0" w:color="B7C7DA"/>
          <w:right w:val="single" w:sz="7" w:space="0" w:color="B7C7DA"/>
          <w:insideH w:val="single" w:sz="7" w:space="0" w:color="B7C7DA"/>
          <w:insideV w:val="single" w:sz="7" w:space="0" w:color="B7C7DA"/>
        </w:tblBorders>
      </w:tblPr>
      <w:tblGrid>
        <w:gridCol w:w="9360"/>
      </w:tblGrid>
      <w:tr>
        <w:trPr>
          <w:cantSplit/>
        </w:trPr>
        <w:tc>
          <w:tcPr>
            <w:tcW w:type="dxa" w:w="9360"/>
            <w:tcMar>
              <w:top w:w="140" w:type="dxa"/>
              <w:start w:w="180" w:type="dxa"/>
              <w:bottom w:w="140" w:type="dxa"/>
              <w:end w:w="180" w:type="dxa"/>
            </w:tcMar>
            <w:vAlign w:val="center"/>
            <w:shd w:fill="F4F6F9"/>
          </w:tcPr>
          <w:p>
            <w:pPr>
              <w:spacing w:after="0" w:line="264" w:lineRule="auto"/>
            </w:pPr>
            <w:r>
              <w:rPr>
                <w:rFonts w:ascii="Calibri" w:hAnsi="Calibri" w:eastAsia="Calibri"/>
                <w:b/>
                <w:i w:val="0"/>
                <w:color w:val="17365D"/>
                <w:sz w:val="22"/>
              </w:rPr>
              <w:t xml:space="preserve">Критерий интерпретируемости. </w:t>
            </w:r>
            <w:r>
              <w:rPr>
                <w:rFonts w:ascii="Calibri" w:hAnsi="Calibri" w:eastAsia="Calibri"/>
                <w:b w:val="0"/>
                <w:i w:val="0"/>
                <w:color w:val="222222"/>
                <w:sz w:val="22"/>
              </w:rPr>
              <w:t>Физический смысл координаты должен подтверждаться вмешательствами и независимыми тестами: латентными traversal-экспериментами через декодер, корреляциями и частными зависимостями, устойчивостью по энергии и условиям, а также переносом на невиденные сборки.</w:t>
            </w:r>
          </w:p>
        </w:tc>
      </w:tr>
    </w:tbl>
    <w:p>
      <w:pPr>
        <w:spacing w:after="20"/>
      </w:pPr>
    </w:p>
    <w:p>
      <w:pPr>
        <w:pStyle w:val="Heading1"/>
        <w:keepNext/>
      </w:pPr>
      <w:r>
        <w:t>6. Conditional VAE с известными условиями</w:t>
      </w:r>
    </w:p>
    <w:p>
      <w:pPr>
        <w:spacing w:before="0" w:after="120" w:line="264" w:lineRule="auto"/>
      </w:pPr>
      <w:r>
        <w:rPr>
          <w:rFonts w:ascii="Calibri" w:hAnsi="Calibri" w:eastAsia="Calibri"/>
          <w:b w:val="0"/>
          <w:i w:val="0"/>
          <w:color w:val="222222"/>
          <w:sz w:val="22"/>
        </w:rPr>
        <w:t>Известные физические параметры следует вводить явно. Обозначим условия среды cenv = (U, T, B, …), метаданные детектора cdet и, при необходимости, оценку энергии E. Тогда условный VAE задаётся как:</w:t>
      </w:r>
    </w:p>
    <w:tbl>
      <w:tblPr>
        <w:tblW w:type="dxa" w:w="9360"/>
        <w:jc w:val="left"/>
        <w:tblLayout w:type="fixed"/>
        <w:tblLook w:firstColumn="1" w:firstRow="1" w:lastColumn="0" w:lastRow="0" w:noHBand="0" w:noVBand="1" w:val="04A0"/>
        <w:tblInd w:w="120" w:type="dxa"/>
        <w:tblBorders>
          <w:top w:val="single" w:sz="5" w:space="0" w:color="D8E1EC"/>
          <w:left w:val="single" w:sz="5" w:space="0" w:color="D8E1EC"/>
          <w:bottom w:val="single" w:sz="5" w:space="0" w:color="D8E1EC"/>
          <w:right w:val="single" w:sz="5" w:space="0" w:color="D8E1EC"/>
          <w:insideH w:val="single" w:sz="5" w:space="0" w:color="D8E1EC"/>
          <w:insideV w:val="single" w:sz="5" w:space="0" w:color="D8E1EC"/>
        </w:tblBorders>
      </w:tblPr>
      <w:tblGrid>
        <w:gridCol w:w="9360"/>
      </w:tblGrid>
      <w:tr>
        <w:tc>
          <w:tcPr>
            <w:tcW w:type="dxa" w:w="9360"/>
            <w:tcMar>
              <w:top w:w="80" w:type="dxa"/>
              <w:start w:w="120" w:type="dxa"/>
              <w:bottom w:w="80" w:type="dxa"/>
              <w:end w:w="120" w:type="dxa"/>
            </w:tcMar>
            <w:vAlign w:val="center"/>
            <w:shd w:fill="F7F9FC"/>
          </w:tcPr>
          <w:p>
            <w:pPr>
              <w:keepLines/>
              <w:spacing w:before="80" w:after="140"/>
              <w:jc w:val="center"/>
            </w:pPr>
            <w:r>
              <w:rPr>
                <w:rFonts w:ascii="Cambria Math" w:hAnsi="Cambria Math" w:eastAsia="Cambria Math"/>
                <w:b w:val="0"/>
                <w:i w:val="0"/>
                <w:color w:val="17365D"/>
                <w:sz w:val="22"/>
              </w:rPr>
              <w:t>qθ(z | X, c),    pφ(X | z, c),    c = (E, cenv, cdet)</w:t>
            </w:r>
          </w:p>
        </w:tc>
      </w:tr>
    </w:tbl>
    <w:p>
      <w:pPr>
        <w:spacing w:before="0" w:after="20"/>
      </w:pPr>
    </w:p>
    <w:p>
      <w:pPr>
        <w:spacing w:before="0" w:after="120" w:line="264" w:lineRule="auto"/>
      </w:pPr>
      <w:r>
        <w:rPr>
          <w:rFonts w:ascii="Calibri" w:hAnsi="Calibri" w:eastAsia="Calibri"/>
          <w:b w:val="0"/>
          <w:i w:val="0"/>
          <w:color w:val="222222"/>
          <w:sz w:val="22"/>
        </w:rPr>
        <w:t>Передача c и энкодеру, и декодеру позволяет модели объяснять известную часть вариации непосредственно условиями. Это освобождает латентное пространство для остаточной морфологии, но само по себе не гарантирует независимость z от c: декодер может игнорировать условие, а энкодер — дублировать его в z.</w:t>
      </w:r>
    </w:p>
    <w:p>
      <w:pPr>
        <w:spacing w:before="0" w:after="120" w:line="264" w:lineRule="auto"/>
      </w:pPr>
      <w:r>
        <w:rPr>
          <w:rFonts w:ascii="Calibri" w:hAnsi="Calibri" w:eastAsia="Calibri"/>
          <w:b w:val="0"/>
          <w:i w:val="0"/>
          <w:color w:val="222222"/>
          <w:sz w:val="22"/>
        </w:rPr>
        <w:t>Для управляемого представления полезно разделить латентный код:</w:t>
      </w:r>
    </w:p>
    <w:p>
      <w:pPr>
        <w:keepLines/>
        <w:spacing w:before="80" w:after="140"/>
        <w:jc w:val="center"/>
      </w:pPr>
      <w:r>
        <w:rPr>
          <w:rFonts w:ascii="Cambria Math" w:hAnsi="Cambria Math" w:eastAsia="Cambria Math"/>
          <w:b w:val="0"/>
          <w:i w:val="0"/>
          <w:color w:val="17365D"/>
          <w:sz w:val="22"/>
        </w:rPr>
        <w:t>z = (zparticle, zshape, znuisance)</w:t>
      </w:r>
    </w:p>
    <w:p>
      <w:pPr>
        <w:pStyle w:val="PSDBullet"/>
        <w:spacing w:after="80" w:line="280" w:lineRule="auto"/>
      </w:pPr>
      <w:r>
        <w:rPr>
          <w:rFonts w:ascii="Calibri" w:hAnsi="Calibri" w:eastAsia="Calibri"/>
          <w:b w:val="0"/>
          <w:i w:val="0"/>
          <w:color w:val="222222"/>
          <w:sz w:val="22"/>
        </w:rPr>
        <w:t>zparticle должен сохранять информацию о классе γ/n и быть инвариантным к детектору и среде;</w:t>
      </w:r>
    </w:p>
    <w:p>
      <w:pPr>
        <w:pStyle w:val="PSDBullet"/>
        <w:spacing w:after="80" w:line="280" w:lineRule="auto"/>
      </w:pPr>
      <w:r>
        <w:rPr>
          <w:rFonts w:ascii="Calibri" w:hAnsi="Calibri" w:eastAsia="Calibri"/>
          <w:b w:val="0"/>
          <w:i w:val="0"/>
          <w:color w:val="222222"/>
          <w:sz w:val="22"/>
        </w:rPr>
        <w:t>zshape должен описывать остаточную морфологию импульса: хвост, фронт, временные масштабы;</w:t>
      </w:r>
    </w:p>
    <w:p>
      <w:pPr>
        <w:pStyle w:val="PSDBullet"/>
        <w:spacing w:after="80" w:line="280" w:lineRule="auto"/>
      </w:pPr>
      <w:r>
        <w:rPr>
          <w:rFonts w:ascii="Calibri" w:hAnsi="Calibri" w:eastAsia="Calibri"/>
          <w:b w:val="0"/>
          <w:i w:val="0"/>
          <w:color w:val="222222"/>
          <w:sz w:val="22"/>
        </w:rPr>
        <w:t>znuisance должен поглощать шум, baseline и неконтролируемую вариабельность.</w:t>
      </w:r>
    </w:p>
    <w:p>
      <w:pPr>
        <w:spacing w:before="0" w:after="120" w:line="264" w:lineRule="auto"/>
      </w:pPr>
      <w:r>
        <w:rPr>
          <w:rFonts w:ascii="Calibri" w:hAnsi="Calibri" w:eastAsia="Calibri"/>
          <w:b w:val="0"/>
          <w:i w:val="0"/>
          <w:color w:val="222222"/>
          <w:sz w:val="22"/>
        </w:rPr>
        <w:t>Это разделение достигается не названием координат, а функциями потерь и дизайном данных: классификационной ветвью, условной реконструкцией, penalization взаимной информации, контрастивным обучением и adversarial-инвариантностью.</w:t>
      </w:r>
    </w:p>
    <w:p>
      <w:pPr>
        <w:pStyle w:val="Heading1"/>
        <w:keepNext/>
      </w:pPr>
      <w:r>
        <w:t>7. Domain adaptation и condition-aware PSD</w:t>
      </w:r>
    </w:p>
    <w:p>
      <w:pPr>
        <w:spacing w:before="0" w:after="120" w:line="264" w:lineRule="auto"/>
      </w:pPr>
      <w:r>
        <w:rPr>
          <w:rFonts w:ascii="Calibri" w:hAnsi="Calibri" w:eastAsia="Calibri"/>
          <w:b w:val="0"/>
          <w:i w:val="0"/>
          <w:color w:val="222222"/>
          <w:sz w:val="22"/>
        </w:rPr>
        <w:t>Condition-aware классификатор непосредственно оценивает P(y | X, U, T, B, cdet). При изменении зарегистрированных условий меняется решение модели без бесконтрольного онлайн-переобучения. Это предпочтительно, если датчики условий доступны и обучающий диапазон покрывает рабочие режимы.</w:t>
      </w:r>
    </w:p>
    <w:p>
      <w:pPr>
        <w:spacing w:before="0" w:after="120" w:line="264" w:lineRule="auto"/>
      </w:pPr>
      <w:r>
        <w:rPr>
          <w:rFonts w:ascii="Calibri" w:hAnsi="Calibri" w:eastAsia="Calibri"/>
          <w:b w:val="0"/>
          <w:i w:val="0"/>
          <w:color w:val="222222"/>
          <w:sz w:val="22"/>
        </w:rPr>
        <w:t>Domain adaptation нужна для устранения различий между доменами: сборками, режимами напряжения, температурами, запусками или электроникой. Один из вариантов — domain-adversarial обучение:</w:t>
      </w:r>
    </w:p>
    <w:p>
      <w:pPr>
        <w:keepLines/>
        <w:spacing w:before="80" w:after="140"/>
        <w:jc w:val="center"/>
      </w:pPr>
      <w:r>
        <w:rPr>
          <w:rFonts w:ascii="Cambria Math" w:hAnsi="Cambria Math" w:eastAsia="Cambria Math"/>
          <w:b w:val="0"/>
          <w:i w:val="0"/>
          <w:color w:val="17365D"/>
          <w:sz w:val="22"/>
        </w:rPr>
        <w:t>X → hparticle → classifier(y)    и    hparticle → domain_head(d)</w:t>
      </w:r>
    </w:p>
    <w:p>
      <w:pPr>
        <w:spacing w:before="0" w:after="120" w:line="264" w:lineRule="auto"/>
      </w:pPr>
      <w:r>
        <w:rPr>
          <w:rFonts w:ascii="Calibri" w:hAnsi="Calibri" w:eastAsia="Calibri"/>
          <w:b w:val="0"/>
          <w:i w:val="0"/>
          <w:color w:val="222222"/>
          <w:sz w:val="22"/>
        </w:rPr>
        <w:t>Классификатор минимизирует ошибку γ/n. Доменная ветвь пытается определить домен d, а extractor через gradient reversal максимизирует её ошибку. В результате hparticle должен быть информативен о частице и малоинформативен о домене.</w:t>
      </w:r>
    </w:p>
    <w:p>
      <w:pPr>
        <w:spacing w:before="0" w:after="120" w:line="264" w:lineRule="auto"/>
      </w:pPr>
      <w:r>
        <w:rPr>
          <w:rFonts w:ascii="Calibri" w:hAnsi="Calibri" w:eastAsia="Calibri"/>
          <w:b w:val="0"/>
          <w:i w:val="0"/>
          <w:color w:val="222222"/>
          <w:sz w:val="22"/>
        </w:rPr>
        <w:t>Инвариантность нельзя максимизировать безусловно: если особенности сцинтиллятора физически необходимы для разделения, их полное удаление ухудшит классификацию. Практическая цель — условная инвариантность: устранить аппаратный shortcut, сохранив полезное взаимодействие формы сигнала с известным cdet.</w:t>
      </w:r>
    </w:p>
    <w:p>
      <w:pPr>
        <w:pStyle w:val="Heading2"/>
        <w:keepNext/>
      </w:pPr>
      <w:r>
        <w:t>Безопасная адаптация в эксплуатации</w:t>
      </w:r>
    </w:p>
    <w:p>
      <w:pPr>
        <w:pStyle w:val="PSDBullet"/>
        <w:spacing w:after="80" w:line="280" w:lineRule="auto"/>
      </w:pPr>
      <w:r>
        <w:rPr>
          <w:rFonts w:ascii="Calibri" w:hAnsi="Calibri" w:eastAsia="Calibri"/>
          <w:b w:val="0"/>
          <w:i w:val="0"/>
          <w:color w:val="222222"/>
          <w:sz w:val="22"/>
        </w:rPr>
        <w:t>быстрый контур: фиксированная модель классифицирует каждый импульс и выдаёт вероятности;</w:t>
      </w:r>
    </w:p>
    <w:p>
      <w:pPr>
        <w:pStyle w:val="PSDBullet"/>
        <w:spacing w:after="80" w:line="280" w:lineRule="auto"/>
      </w:pPr>
      <w:r>
        <w:rPr>
          <w:rFonts w:ascii="Calibri" w:hAnsi="Calibri" w:eastAsia="Calibri"/>
          <w:b w:val="0"/>
          <w:i w:val="0"/>
          <w:color w:val="222222"/>
          <w:sz w:val="22"/>
        </w:rPr>
        <w:t>медленный контур: контролирует дрейф признаков, калибровку вероятностей и долю unknown;</w:t>
      </w:r>
    </w:p>
    <w:p>
      <w:pPr>
        <w:pStyle w:val="PSDBullet"/>
        <w:spacing w:after="80" w:line="280" w:lineRule="auto"/>
      </w:pPr>
      <w:r>
        <w:rPr>
          <w:rFonts w:ascii="Calibri" w:hAnsi="Calibri" w:eastAsia="Calibri"/>
          <w:b w:val="0"/>
          <w:i w:val="0"/>
          <w:color w:val="222222"/>
          <w:sz w:val="22"/>
        </w:rPr>
        <w:t>автоматически разрешаются только ограниченные изменения нормализации или адаптера в проверенном диапазоне;</w:t>
      </w:r>
    </w:p>
    <w:p>
      <w:pPr>
        <w:pStyle w:val="PSDBullet"/>
        <w:spacing w:after="80" w:line="280" w:lineRule="auto"/>
      </w:pPr>
      <w:r>
        <w:rPr>
          <w:rFonts w:ascii="Calibri" w:hAnsi="Calibri" w:eastAsia="Calibri"/>
          <w:b w:val="0"/>
          <w:i w:val="0"/>
          <w:color w:val="222222"/>
          <w:sz w:val="22"/>
        </w:rPr>
        <w:t>сильный сдвиг переводит систему в предупреждение/OOD-режим, а не в скрытое переобучение.</w:t>
      </w:r>
    </w:p>
    <w:p>
      <w:pPr>
        <w:pStyle w:val="Heading1"/>
        <w:keepNext/>
      </w:pPr>
      <w:r>
        <w:t>8. Архитектура универсального PSD</w:t>
      </w:r>
    </w:p>
    <w:tbl>
      <w:tblPr>
        <w:tblW w:type="dxa" w:w="9360"/>
        <w:jc w:val="left"/>
        <w:tblLayout w:type="fixed"/>
        <w:tblLook w:firstColumn="1" w:firstRow="1" w:lastColumn="0" w:lastRow="0" w:noHBand="0" w:noVBand="1" w:val="04A0"/>
        <w:tblInd w:w="120" w:type="dxa"/>
        <w:tblBorders>
          <w:top w:val="single" w:sz="5" w:space="0" w:color="D8E1EC"/>
          <w:left w:val="single" w:sz="5" w:space="0" w:color="D8E1EC"/>
          <w:bottom w:val="single" w:sz="5" w:space="0" w:color="D8E1EC"/>
          <w:right w:val="single" w:sz="5" w:space="0" w:color="D8E1EC"/>
          <w:insideH w:val="single" w:sz="5" w:space="0" w:color="D8E1EC"/>
          <w:insideV w:val="single" w:sz="5" w:space="0" w:color="D8E1EC"/>
        </w:tblBorders>
      </w:tblPr>
      <w:tblGrid>
        <w:gridCol w:w="9360"/>
      </w:tblGrid>
      <w:tr>
        <w:tc>
          <w:tcPr>
            <w:tcW w:type="dxa" w:w="9360"/>
            <w:tcMar>
              <w:top w:w="80" w:type="dxa"/>
              <w:start w:w="120" w:type="dxa"/>
              <w:bottom w:w="80" w:type="dxa"/>
              <w:end w:w="120" w:type="dxa"/>
            </w:tcMar>
            <w:vAlign w:val="center"/>
            <w:shd w:fill="F7F9FC"/>
          </w:tcPr>
          <w:p>
            <w:pPr>
              <w:keepLines/>
              <w:spacing w:before="80" w:after="140"/>
              <w:jc w:val="center"/>
            </w:pPr>
            <w:r>
              <w:rPr>
                <w:rFonts w:ascii="Cambria Math" w:hAnsi="Cambria Math" w:eastAsia="Cambria Math"/>
                <w:b w:val="0"/>
                <w:i w:val="0"/>
                <w:color w:val="17365D"/>
                <w:sz w:val="22"/>
              </w:rPr>
              <w:t>X → preprocessing → shared backbone → h → detector adapter → P(y | X, c)</w:t>
            </w:r>
          </w:p>
        </w:tc>
      </w:tr>
    </w:tbl>
    <w:p>
      <w:pPr>
        <w:spacing w:before="0" w:after="20"/>
      </w:pPr>
    </w:p>
    <w:p>
      <w:pPr>
        <w:pStyle w:val="Heading2"/>
        <w:keepNext/>
      </w:pPr>
      <w:r>
        <w:t>8.1. Компоненты</w:t>
      </w:r>
    </w:p>
    <w:p>
      <w:pPr>
        <w:spacing w:before="0" w:after="120" w:line="264" w:lineRule="auto"/>
      </w:pPr>
      <w:r>
        <w:rPr>
          <w:rFonts w:ascii="Calibri" w:hAnsi="Calibri" w:eastAsia="Calibri"/>
          <w:b w:val="0"/>
          <w:i w:val="0"/>
          <w:color w:val="222222"/>
          <w:sz w:val="22"/>
        </w:rPr>
        <w:t>Предобработка выполняет baseline subtraction, временное выравнивание, маскирование насыщения и формирует две версии сигнала: нормированную по амплитуде форму и масштаб/энергию отдельным признаком. Это снижает риск потерять энергетическую информацию при нормировке.</w:t>
      </w:r>
    </w:p>
    <w:p>
      <w:pPr>
        <w:spacing w:before="0" w:after="120" w:line="264" w:lineRule="auto"/>
      </w:pPr>
      <w:r>
        <w:rPr>
          <w:rFonts w:ascii="Calibri" w:hAnsi="Calibri" w:eastAsia="Calibri"/>
          <w:b w:val="0"/>
          <w:i w:val="0"/>
          <w:color w:val="222222"/>
          <w:sz w:val="22"/>
        </w:rPr>
        <w:t>Shared backbone — одномерная CNN, TCN или компактный Transformer — извлекает общие многомасштабные признаки фронта и хвоста. Detector embedding кодирует не произвольный номер канала, а структурированные метаданные: тип сцинтиллятора, ФЭУ, электронику и частоту дискретизации.</w:t>
      </w:r>
    </w:p>
    <w:p>
      <w:pPr>
        <w:pageBreakBefore/>
        <w:spacing w:before="0" w:after="120" w:line="264" w:lineRule="auto"/>
      </w:pPr>
      <w:r>
        <w:rPr>
          <w:rFonts w:ascii="Calibri" w:hAnsi="Calibri" w:eastAsia="Calibri"/>
          <w:b w:val="0"/>
          <w:i w:val="0"/>
          <w:color w:val="222222"/>
          <w:sz w:val="22"/>
        </w:rPr>
        <w:t>Малый detector-specific adapter (FiLM-слои, bottleneck-MLP, low-rank adapter или affine-нормализация) компенсирует особенности новой сборки. На калибровке backbone замораживается, а обновляются только embedding, adapter и, при необходимости, калибратор вероятностей.</w:t>
      </w:r>
    </w:p>
    <w:p>
      <w:pPr>
        <w:pStyle w:val="Heading2"/>
        <w:keepNext/>
      </w:pPr>
      <w:r>
        <w:t>8.2. Режимы переноса</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450"/>
        <w:gridCol w:w="2100"/>
        <w:gridCol w:w="2800"/>
        <w:gridCol w:w="3010"/>
      </w:tblGrid>
      <w:tr>
        <w:trPr>
          <w:tblHeader/>
          <w:cantSplit/>
        </w:trPr>
        <w:tc>
          <w:tcPr>
            <w:tcW w:type="dxa" w:w="145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Режим</w:t>
            </w:r>
          </w:p>
        </w:tc>
        <w:tc>
          <w:tcPr>
            <w:tcW w:type="dxa" w:w="210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Данные новой сборки</w:t>
            </w:r>
          </w:p>
        </w:tc>
        <w:tc>
          <w:tcPr>
            <w:tcW w:type="dxa" w:w="280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Что настраивается</w:t>
            </w:r>
          </w:p>
        </w:tc>
        <w:tc>
          <w:tcPr>
            <w:tcW w:type="dxa" w:w="301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Ожидаемая надёжность</w:t>
            </w:r>
          </w:p>
        </w:tc>
      </w:tr>
      <w:tr>
        <w:trPr>
          <w:cantSplit/>
        </w:trPr>
        <w:tc>
          <w:tcPr>
            <w:tcW w:type="dxa" w:w="1450"/>
          </w:tcPr>
          <w:p>
            <w:pPr>
              <w:spacing w:after="0" w:line="252" w:lineRule="auto"/>
            </w:pPr>
            <w:r>
              <w:rPr>
                <w:rFonts w:ascii="Calibri" w:hAnsi="Calibri" w:eastAsia="Calibri"/>
                <w:b w:val="0"/>
                <w:i w:val="0"/>
                <w:color w:val="222222"/>
                <w:sz w:val="20"/>
              </w:rPr>
              <w:t>Zero-shot</w:t>
            </w:r>
          </w:p>
        </w:tc>
        <w:tc>
          <w:tcPr>
            <w:tcW w:type="dxa" w:w="2100"/>
          </w:tcPr>
          <w:p>
            <w:pPr>
              <w:spacing w:after="0" w:line="252" w:lineRule="auto"/>
            </w:pPr>
            <w:r>
              <w:rPr>
                <w:rFonts w:ascii="Calibri" w:hAnsi="Calibri" w:eastAsia="Calibri"/>
                <w:b w:val="0"/>
                <w:i w:val="0"/>
                <w:color w:val="222222"/>
                <w:sz w:val="20"/>
              </w:rPr>
              <w:t>Нет</w:t>
            </w:r>
          </w:p>
        </w:tc>
        <w:tc>
          <w:tcPr>
            <w:tcW w:type="dxa" w:w="2800"/>
          </w:tcPr>
          <w:p>
            <w:pPr>
              <w:spacing w:after="0" w:line="252" w:lineRule="auto"/>
            </w:pPr>
            <w:r>
              <w:rPr>
                <w:rFonts w:ascii="Calibri" w:hAnsi="Calibri" w:eastAsia="Calibri"/>
                <w:b w:val="0"/>
                <w:i w:val="0"/>
                <w:color w:val="222222"/>
                <w:sz w:val="20"/>
              </w:rPr>
              <w:t>Ничего</w:t>
            </w:r>
          </w:p>
        </w:tc>
        <w:tc>
          <w:tcPr>
            <w:tcW w:type="dxa" w:w="3010"/>
          </w:tcPr>
          <w:p>
            <w:pPr>
              <w:spacing w:after="0" w:line="252" w:lineRule="auto"/>
            </w:pPr>
            <w:r>
              <w:rPr>
                <w:rFonts w:ascii="Calibri" w:hAnsi="Calibri" w:eastAsia="Calibri"/>
                <w:b w:val="0"/>
                <w:i w:val="0"/>
                <w:color w:val="222222"/>
                <w:sz w:val="20"/>
              </w:rPr>
              <w:t>Ограниченная; приемлема только для близкого домена</w:t>
            </w:r>
          </w:p>
        </w:tc>
      </w:tr>
      <w:tr>
        <w:trPr>
          <w:cantSplit/>
        </w:trPr>
        <w:tc>
          <w:tcPr>
            <w:tcW w:type="dxa" w:w="1450"/>
          </w:tcPr>
          <w:p>
            <w:pPr>
              <w:spacing w:after="0" w:line="252" w:lineRule="auto"/>
            </w:pPr>
            <w:r>
              <w:rPr>
                <w:rFonts w:ascii="Calibri" w:hAnsi="Calibri" w:eastAsia="Calibri"/>
                <w:b w:val="0"/>
                <w:i w:val="0"/>
                <w:color w:val="222222"/>
                <w:sz w:val="20"/>
              </w:rPr>
              <w:t>Без разметки</w:t>
            </w:r>
          </w:p>
        </w:tc>
        <w:tc>
          <w:tcPr>
            <w:tcW w:type="dxa" w:w="2100"/>
          </w:tcPr>
          <w:p>
            <w:pPr>
              <w:spacing w:after="0" w:line="252" w:lineRule="auto"/>
            </w:pPr>
            <w:r>
              <w:rPr>
                <w:rFonts w:ascii="Calibri" w:hAnsi="Calibri" w:eastAsia="Calibri"/>
                <w:b w:val="0"/>
                <w:i w:val="0"/>
                <w:color w:val="222222"/>
                <w:sz w:val="20"/>
              </w:rPr>
              <w:t>Короткая серия X</w:t>
            </w:r>
          </w:p>
        </w:tc>
        <w:tc>
          <w:tcPr>
            <w:tcW w:type="dxa" w:w="2800"/>
          </w:tcPr>
          <w:p>
            <w:pPr>
              <w:spacing w:after="0" w:line="252" w:lineRule="auto"/>
            </w:pPr>
            <w:r>
              <w:rPr>
                <w:rFonts w:ascii="Calibri" w:hAnsi="Calibri" w:eastAsia="Calibri"/>
                <w:b w:val="0"/>
                <w:i w:val="0"/>
                <w:color w:val="222222"/>
                <w:sz w:val="20"/>
              </w:rPr>
              <w:t>Нормализация, статистики, embedding/adapter</w:t>
            </w:r>
          </w:p>
        </w:tc>
        <w:tc>
          <w:tcPr>
            <w:tcW w:type="dxa" w:w="3010"/>
          </w:tcPr>
          <w:p>
            <w:pPr>
              <w:spacing w:after="0" w:line="252" w:lineRule="auto"/>
            </w:pPr>
            <w:r>
              <w:rPr>
                <w:rFonts w:ascii="Calibri" w:hAnsi="Calibri" w:eastAsia="Calibri"/>
                <w:b w:val="0"/>
                <w:i w:val="0"/>
                <w:color w:val="222222"/>
                <w:sz w:val="20"/>
              </w:rPr>
              <w:t>Улучшает согласование доменов, но не фиксирует перестановку классов</w:t>
            </w:r>
          </w:p>
        </w:tc>
      </w:tr>
      <w:tr>
        <w:trPr>
          <w:cantSplit/>
        </w:trPr>
        <w:tc>
          <w:tcPr>
            <w:tcW w:type="dxa" w:w="1450"/>
          </w:tcPr>
          <w:p>
            <w:pPr>
              <w:spacing w:after="0" w:line="252" w:lineRule="auto"/>
            </w:pPr>
            <w:r>
              <w:rPr>
                <w:rFonts w:ascii="Calibri" w:hAnsi="Calibri" w:eastAsia="Calibri"/>
                <w:b w:val="0"/>
                <w:i w:val="0"/>
                <w:color w:val="222222"/>
                <w:sz w:val="20"/>
              </w:rPr>
              <w:t>Few-shot</w:t>
            </w:r>
          </w:p>
        </w:tc>
        <w:tc>
          <w:tcPr>
            <w:tcW w:type="dxa" w:w="2100"/>
          </w:tcPr>
          <w:p>
            <w:pPr>
              <w:spacing w:after="0" w:line="252" w:lineRule="auto"/>
            </w:pPr>
            <w:r>
              <w:rPr>
                <w:rFonts w:ascii="Calibri" w:hAnsi="Calibri" w:eastAsia="Calibri"/>
                <w:b w:val="0"/>
                <w:i w:val="0"/>
                <w:color w:val="222222"/>
                <w:sz w:val="20"/>
              </w:rPr>
              <w:t>Небольшой набор γ/n</w:t>
            </w:r>
          </w:p>
        </w:tc>
        <w:tc>
          <w:tcPr>
            <w:tcW w:type="dxa" w:w="2800"/>
          </w:tcPr>
          <w:p>
            <w:pPr>
              <w:spacing w:after="0" w:line="252" w:lineRule="auto"/>
            </w:pPr>
            <w:r>
              <w:rPr>
                <w:rFonts w:ascii="Calibri" w:hAnsi="Calibri" w:eastAsia="Calibri"/>
                <w:b w:val="0"/>
                <w:i w:val="0"/>
                <w:color w:val="222222"/>
                <w:sz w:val="20"/>
              </w:rPr>
              <w:t>Adapter, embedding, calibration head</w:t>
            </w:r>
          </w:p>
        </w:tc>
        <w:tc>
          <w:tcPr>
            <w:tcW w:type="dxa" w:w="3010"/>
          </w:tcPr>
          <w:p>
            <w:pPr>
              <w:spacing w:after="0" w:line="252" w:lineRule="auto"/>
            </w:pPr>
            <w:r>
              <w:rPr>
                <w:rFonts w:ascii="Calibri" w:hAnsi="Calibri" w:eastAsia="Calibri"/>
                <w:b w:val="0"/>
                <w:i w:val="0"/>
                <w:color w:val="222222"/>
                <w:sz w:val="20"/>
              </w:rPr>
              <w:t>Основной целевой режим для новой сборки</w:t>
            </w:r>
          </w:p>
        </w:tc>
      </w:tr>
      <w:tr>
        <w:trPr>
          <w:cantSplit/>
        </w:trPr>
        <w:tc>
          <w:tcPr>
            <w:tcW w:type="dxa" w:w="1450"/>
          </w:tcPr>
          <w:p>
            <w:pPr>
              <w:spacing w:after="0" w:line="252" w:lineRule="auto"/>
            </w:pPr>
            <w:r>
              <w:rPr>
                <w:rFonts w:ascii="Calibri" w:hAnsi="Calibri" w:eastAsia="Calibri"/>
                <w:b w:val="0"/>
                <w:i w:val="0"/>
                <w:color w:val="222222"/>
                <w:sz w:val="20"/>
              </w:rPr>
              <w:t>Полная настройка</w:t>
            </w:r>
          </w:p>
        </w:tc>
        <w:tc>
          <w:tcPr>
            <w:tcW w:type="dxa" w:w="2100"/>
          </w:tcPr>
          <w:p>
            <w:pPr>
              <w:spacing w:after="0" w:line="252" w:lineRule="auto"/>
            </w:pPr>
            <w:r>
              <w:rPr>
                <w:rFonts w:ascii="Calibri" w:hAnsi="Calibri" w:eastAsia="Calibri"/>
                <w:b w:val="0"/>
                <w:i w:val="0"/>
                <w:color w:val="222222"/>
                <w:sz w:val="20"/>
              </w:rPr>
              <w:t>Репрезентативная размеченная серия</w:t>
            </w:r>
          </w:p>
        </w:tc>
        <w:tc>
          <w:tcPr>
            <w:tcW w:type="dxa" w:w="2800"/>
          </w:tcPr>
          <w:p>
            <w:pPr>
              <w:spacing w:after="0" w:line="252" w:lineRule="auto"/>
            </w:pPr>
            <w:r>
              <w:rPr>
                <w:rFonts w:ascii="Calibri" w:hAnsi="Calibri" w:eastAsia="Calibri"/>
                <w:b w:val="0"/>
                <w:i w:val="0"/>
                <w:color w:val="222222"/>
                <w:sz w:val="20"/>
              </w:rPr>
              <w:t>Часть или вся модель</w:t>
            </w:r>
          </w:p>
        </w:tc>
        <w:tc>
          <w:tcPr>
            <w:tcW w:type="dxa" w:w="3010"/>
          </w:tcPr>
          <w:p>
            <w:pPr>
              <w:spacing w:after="0" w:line="252" w:lineRule="auto"/>
            </w:pPr>
            <w:r>
              <w:rPr>
                <w:rFonts w:ascii="Calibri" w:hAnsi="Calibri" w:eastAsia="Calibri"/>
                <w:b w:val="0"/>
                <w:i w:val="0"/>
                <w:color w:val="222222"/>
                <w:sz w:val="20"/>
              </w:rPr>
              <w:t>Резерв для радикально нового детектора</w:t>
            </w:r>
          </w:p>
        </w:tc>
      </w:tr>
    </w:tbl>
    <w:p>
      <w:pPr>
        <w:spacing w:after="40"/>
      </w:pPr>
    </w:p>
    <w:p>
      <w:pPr>
        <w:pStyle w:val="Heading2"/>
        <w:keepNext/>
      </w:pPr>
      <w:r>
        <w:t>8.3. Проверка переноса</w:t>
      </w:r>
    </w:p>
    <w:p>
      <w:pPr>
        <w:spacing w:before="0" w:after="120" w:line="264" w:lineRule="auto"/>
      </w:pPr>
      <w:r>
        <w:rPr>
          <w:rFonts w:ascii="Calibri" w:hAnsi="Calibri" w:eastAsia="Calibri"/>
          <w:b w:val="0"/>
          <w:i w:val="0"/>
          <w:color w:val="222222"/>
          <w:sz w:val="22"/>
        </w:rPr>
        <w:t>Главный протокол — leave-one-detector-out: все события одной сборки исключаются из обучения и подбора гиперпараметров. Затем измеряются zero-shot и few-shot результаты на этой сборке. Разбиение должно выполняться по запускам или временным сериям, а не случайно по импульсам, иначе утечка условий завысит качество.</w:t>
      </w:r>
    </w:p>
    <w:p>
      <w:pPr>
        <w:keepLines/>
        <w:spacing w:before="80" w:after="140"/>
        <w:jc w:val="center"/>
      </w:pPr>
      <w:r>
        <w:rPr>
          <w:rFonts w:ascii="Cambria Math" w:hAnsi="Cambria Math" w:eastAsia="Cambria Math"/>
          <w:b w:val="0"/>
          <w:i w:val="0"/>
          <w:color w:val="17365D"/>
          <w:sz w:val="22"/>
        </w:rPr>
        <w:t>train: D \ {d*};    calibrate: k событий из d*;    test: независимые серии d*</w:t>
      </w:r>
    </w:p>
    <w:p>
      <w:pPr>
        <w:spacing w:before="0" w:after="120" w:line="264" w:lineRule="auto"/>
      </w:pPr>
      <w:r>
        <w:rPr>
          <w:rFonts w:ascii="Calibri" w:hAnsi="Calibri" w:eastAsia="Calibri"/>
          <w:b w:val="0"/>
          <w:i w:val="0"/>
          <w:color w:val="222222"/>
          <w:sz w:val="22"/>
        </w:rPr>
        <w:t>Оценивать следует не только accuracy/AUC, но и FOM по энергетическим диапазонам, neutron efficiency при фиксированном gamma rejection, Brier score/ECE, долю unknown, OOD-detection и деградацию при изменении U, T и B.</w:t>
      </w:r>
    </w:p>
    <w:p>
      <w:pPr>
        <w:pStyle w:val="Heading1"/>
        <w:keepNext/>
      </w:pPr>
      <w:r>
        <w:t>9. Экспериментальные требования</w:t>
      </w:r>
    </w:p>
    <w:p>
      <w:pPr>
        <w:spacing w:before="0" w:after="120" w:line="264" w:lineRule="auto"/>
      </w:pPr>
      <w:r>
        <w:rPr>
          <w:rFonts w:ascii="Calibri" w:hAnsi="Calibri" w:eastAsia="Calibri"/>
          <w:b w:val="0"/>
          <w:i w:val="0"/>
          <w:color w:val="222222"/>
          <w:sz w:val="22"/>
        </w:rPr>
        <w:t>Отделить влияние частицы от влияния детектора можно только при достаточной вариативности и перекрытии условий. Минимальный дизайн данных должен предотвращать конфаундинг класса, источника, сборки и режима.</w:t>
      </w:r>
    </w:p>
    <w:p>
      <w:pPr>
        <w:pStyle w:val="PSDNumber"/>
        <w:spacing w:after="100" w:line="280" w:lineRule="auto"/>
      </w:pPr>
      <w:r>
        <w:rPr>
          <w:rFonts w:ascii="Calibri" w:hAnsi="Calibri" w:eastAsia="Calibri"/>
          <w:b w:val="0"/>
          <w:i w:val="0"/>
          <w:color w:val="222222"/>
          <w:sz w:val="22"/>
        </w:rPr>
        <w:t>Факторная матрица. По возможности переставлять несколько ФЭУ и сцинтилляторов, чтобы один компонент встречался более чем в одной комбинации.</w:t>
      </w:r>
    </w:p>
    <w:p>
      <w:pPr>
        <w:pStyle w:val="PSDNumber"/>
        <w:spacing w:after="100" w:line="280" w:lineRule="auto"/>
      </w:pPr>
      <w:r>
        <w:rPr>
          <w:rFonts w:ascii="Calibri" w:hAnsi="Calibri" w:eastAsia="Calibri"/>
          <w:b w:val="0"/>
          <w:i w:val="0"/>
          <w:color w:val="222222"/>
          <w:sz w:val="22"/>
        </w:rPr>
        <w:t>Оба класса в каждом домене. Для каждой значимой комбинации U, T, B и сборки нужны γ и n; иначе условие неотличимо от класса.</w:t>
      </w:r>
    </w:p>
    <w:p>
      <w:pPr>
        <w:pStyle w:val="PSDNumber"/>
        <w:spacing w:after="100" w:line="280" w:lineRule="auto"/>
      </w:pPr>
      <w:r>
        <w:rPr>
          <w:rFonts w:ascii="Calibri" w:hAnsi="Calibri" w:eastAsia="Calibri"/>
          <w:b w:val="0"/>
          <w:i w:val="0"/>
          <w:color w:val="222222"/>
          <w:sz w:val="22"/>
        </w:rPr>
        <w:t>Независимые серии. Разделять train/validation/test по времени, запуску и источнику; хранить run_id и полную конфигурацию.</w:t>
      </w:r>
    </w:p>
    <w:p>
      <w:pPr>
        <w:pStyle w:val="PSDNumber"/>
        <w:spacing w:after="100" w:line="280" w:lineRule="auto"/>
      </w:pPr>
      <w:r>
        <w:rPr>
          <w:rFonts w:ascii="Calibri" w:hAnsi="Calibri" w:eastAsia="Calibri"/>
          <w:b w:val="0"/>
          <w:i w:val="0"/>
          <w:color w:val="222222"/>
          <w:sz w:val="22"/>
        </w:rPr>
        <w:t>Покрытие энергии. Сравнивать модели в согласованных энергетических интервалах и особенно исследовать низкие энергии.</w:t>
      </w:r>
    </w:p>
    <w:p>
      <w:pPr>
        <w:pStyle w:val="PSDNumber"/>
        <w:spacing w:after="100" w:line="280" w:lineRule="auto"/>
      </w:pPr>
      <w:r>
        <w:rPr>
          <w:rFonts w:ascii="Calibri" w:hAnsi="Calibri" w:eastAsia="Calibri"/>
          <w:b w:val="0"/>
          <w:i w:val="0"/>
          <w:color w:val="222222"/>
          <w:sz w:val="22"/>
        </w:rPr>
        <w:t>Метаданные и синхронизация. Записывать U, T, B, частоту дискретизации, тракт, gain, firmware, насыщение, baseline и качество датчиков условий.</w:t>
      </w:r>
    </w:p>
    <w:p>
      <w:pPr>
        <w:pStyle w:val="PSDNumber"/>
        <w:spacing w:after="100" w:line="280" w:lineRule="auto"/>
      </w:pPr>
      <w:r>
        <w:rPr>
          <w:rFonts w:ascii="Calibri" w:hAnsi="Calibri" w:eastAsia="Calibri"/>
          <w:b w:val="0"/>
          <w:i w:val="0"/>
          <w:color w:val="222222"/>
          <w:sz w:val="22"/>
        </w:rPr>
        <w:t>Калибровка меток. Использовать чистые или надёжно размеченные источники, оценивать загрязнение классов и не считать классический PSD безошибочной истиной.</w:t>
      </w:r>
    </w:p>
    <w:p>
      <w:pPr>
        <w:pStyle w:val="PSDNumber"/>
        <w:spacing w:after="100" w:line="280" w:lineRule="auto"/>
      </w:pPr>
      <w:r>
        <w:rPr>
          <w:rFonts w:ascii="Calibri" w:hAnsi="Calibri" w:eastAsia="Calibri"/>
          <w:b w:val="0"/>
          <w:i w:val="0"/>
          <w:color w:val="222222"/>
          <w:sz w:val="22"/>
        </w:rPr>
        <w:t>Контрольные аномалии. Отдельно собирать шум, pile-up, насыщение, сдвиг триггера и неисправности для обучения и теста unknown/OOD.</w:t>
      </w:r>
    </w:p>
    <w:p>
      <w:pPr>
        <w:pStyle w:val="PSDNumber"/>
        <w:spacing w:after="100" w:line="280" w:lineRule="auto"/>
      </w:pPr>
      <w:r>
        <w:rPr>
          <w:rFonts w:ascii="Calibri" w:hAnsi="Calibri" w:eastAsia="Calibri"/>
          <w:b w:val="0"/>
          <w:i w:val="0"/>
          <w:color w:val="222222"/>
          <w:sz w:val="22"/>
        </w:rPr>
        <w:t>Повторы. Повторять точки факторной матрицы в разные дни, чтобы модель не связывала класс с конкретным запуском.</w:t>
      </w:r>
    </w:p>
    <w:tbl>
      <w:tblPr>
        <w:tblW w:type="dxa" w:w="9360"/>
        <w:tblLayout w:type="fixed"/>
        <w:tblLook w:firstColumn="1" w:firstRow="1" w:lastColumn="0" w:lastRow="0" w:noHBand="0" w:noVBand="1" w:val="04A0"/>
        <w:tblInd w:w="120" w:type="dxa"/>
        <w:tblBorders>
          <w:top w:val="single" w:sz="7" w:space="0" w:color="B7C7DA"/>
          <w:left w:val="single" w:sz="7" w:space="0" w:color="B7C7DA"/>
          <w:bottom w:val="single" w:sz="7" w:space="0" w:color="B7C7DA"/>
          <w:right w:val="single" w:sz="7" w:space="0" w:color="B7C7DA"/>
          <w:insideH w:val="single" w:sz="7" w:space="0" w:color="B7C7DA"/>
          <w:insideV w:val="single" w:sz="7" w:space="0" w:color="B7C7DA"/>
        </w:tblBorders>
      </w:tblPr>
      <w:tblGrid>
        <w:gridCol w:w="9360"/>
      </w:tblGrid>
      <w:tr>
        <w:trPr>
          <w:cantSplit/>
        </w:trPr>
        <w:tc>
          <w:tcPr>
            <w:tcW w:type="dxa" w:w="9360"/>
            <w:tcMar>
              <w:top w:w="140" w:type="dxa"/>
              <w:start w:w="180" w:type="dxa"/>
              <w:bottom w:w="140" w:type="dxa"/>
              <w:end w:w="180" w:type="dxa"/>
            </w:tcMar>
            <w:vAlign w:val="center"/>
            <w:shd w:fill="F4F6F9"/>
          </w:tcPr>
          <w:p>
            <w:pPr>
              <w:spacing w:after="0" w:line="264" w:lineRule="auto"/>
            </w:pPr>
            <w:r>
              <w:rPr>
                <w:rFonts w:ascii="Calibri" w:hAnsi="Calibri" w:eastAsia="Calibri"/>
                <w:b/>
                <w:i w:val="0"/>
                <w:color w:val="17365D"/>
                <w:sz w:val="22"/>
              </w:rPr>
              <w:t xml:space="preserve">Критическая проверка. </w:t>
            </w:r>
            <w:r>
              <w:rPr>
                <w:rFonts w:ascii="Calibri" w:hAnsi="Calibri" w:eastAsia="Calibri"/>
                <w:b w:val="0"/>
                <w:i w:val="0"/>
                <w:color w:val="222222"/>
                <w:sz w:val="22"/>
              </w:rPr>
              <w:t>Если γ записаны только при T₁, а n — только при T₂, никакая архитектура не может по этим данным доказать, что она отделила тип частицы от температуры.</w:t>
            </w:r>
          </w:p>
        </w:tc>
      </w:tr>
    </w:tbl>
    <w:p>
      <w:pPr>
        <w:spacing w:after="20"/>
      </w:pPr>
    </w:p>
    <w:p>
      <w:pPr>
        <w:pStyle w:val="Heading1"/>
        <w:keepNext/>
      </w:pPr>
      <w:r>
        <w:t>10. Долгосрочная дорожная карта</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700"/>
        <w:gridCol w:w="3900"/>
        <w:gridCol w:w="3760"/>
      </w:tblGrid>
      <w:tr>
        <w:trPr>
          <w:tblHeader/>
          <w:cantSplit/>
        </w:trPr>
        <w:tc>
          <w:tcPr>
            <w:tcW w:type="dxa" w:w="170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Этап</w:t>
            </w:r>
          </w:p>
        </w:tc>
        <w:tc>
          <w:tcPr>
            <w:tcW w:type="dxa" w:w="390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Основная работа</w:t>
            </w:r>
          </w:p>
        </w:tc>
        <w:tc>
          <w:tcPr>
            <w:tcW w:type="dxa" w:w="3760"/>
            <w:tcMar>
              <w:top w:w="80" w:type="dxa"/>
              <w:start w:w="120" w:type="dxa"/>
              <w:bottom w:w="80" w:type="dxa"/>
              <w:end w:w="120" w:type="dxa"/>
            </w:tcMar>
            <w:vAlign w:val="center"/>
            <w:shd w:fill="F2F4F7"/>
          </w:tcPr>
          <w:p>
            <w:pPr>
              <w:spacing w:after="0"/>
            </w:pPr>
            <w:r>
              <w:rPr>
                <w:rFonts w:ascii="Calibri" w:hAnsi="Calibri" w:eastAsia="Calibri"/>
                <w:b/>
                <w:i w:val="0"/>
                <w:color w:val="17365D"/>
                <w:sz w:val="21"/>
              </w:rPr>
              <w:t>Критерий перехода</w:t>
            </w:r>
          </w:p>
        </w:tc>
      </w:tr>
      <w:tr>
        <w:trPr>
          <w:cantSplit/>
        </w:trPr>
        <w:tc>
          <w:tcPr>
            <w:tcW w:type="dxa" w:w="1700"/>
          </w:tcPr>
          <w:p>
            <w:pPr>
              <w:spacing w:after="0" w:line="252" w:lineRule="auto"/>
            </w:pPr>
            <w:r>
              <w:rPr>
                <w:rFonts w:ascii="Calibri" w:hAnsi="Calibri" w:eastAsia="Calibri"/>
                <w:b w:val="0"/>
                <w:i w:val="0"/>
                <w:color w:val="222222"/>
                <w:sz w:val="20"/>
              </w:rPr>
              <w:t>1. Базовая линия</w:t>
            </w:r>
          </w:p>
        </w:tc>
        <w:tc>
          <w:tcPr>
            <w:tcW w:type="dxa" w:w="3900"/>
          </w:tcPr>
          <w:p>
            <w:pPr>
              <w:spacing w:after="0" w:line="252" w:lineRule="auto"/>
            </w:pPr>
            <w:r>
              <w:rPr>
                <w:rFonts w:ascii="Calibri" w:hAnsi="Calibri" w:eastAsia="Calibri"/>
                <w:b w:val="0"/>
                <w:i w:val="0"/>
                <w:color w:val="222222"/>
                <w:sz w:val="20"/>
              </w:rPr>
              <w:t>Единый препроцессинг; классический PSD; supervised 1D-CNN</w:t>
            </w:r>
          </w:p>
        </w:tc>
        <w:tc>
          <w:tcPr>
            <w:tcW w:type="dxa" w:w="3760"/>
          </w:tcPr>
          <w:p>
            <w:pPr>
              <w:spacing w:after="0" w:line="252" w:lineRule="auto"/>
            </w:pPr>
            <w:r>
              <w:rPr>
                <w:rFonts w:ascii="Calibri" w:hAnsi="Calibri" w:eastAsia="Calibri"/>
                <w:b w:val="0"/>
                <w:i w:val="0"/>
                <w:color w:val="222222"/>
                <w:sz w:val="20"/>
              </w:rPr>
              <w:t>Честные split по run; метрики по энергии; calibration</w:t>
            </w:r>
          </w:p>
        </w:tc>
      </w:tr>
      <w:tr>
        <w:trPr>
          <w:cantSplit/>
        </w:trPr>
        <w:tc>
          <w:tcPr>
            <w:tcW w:type="dxa" w:w="1700"/>
          </w:tcPr>
          <w:p>
            <w:pPr>
              <w:spacing w:after="0" w:line="252" w:lineRule="auto"/>
            </w:pPr>
            <w:r>
              <w:rPr>
                <w:rFonts w:ascii="Calibri" w:hAnsi="Calibri" w:eastAsia="Calibri"/>
                <w:b w:val="0"/>
                <w:i w:val="0"/>
                <w:color w:val="222222"/>
                <w:sz w:val="20"/>
              </w:rPr>
              <w:t>2. Латентный анализ</w:t>
            </w:r>
          </w:p>
        </w:tc>
        <w:tc>
          <w:tcPr>
            <w:tcW w:type="dxa" w:w="3900"/>
          </w:tcPr>
          <w:p>
            <w:pPr>
              <w:spacing w:after="0" w:line="252" w:lineRule="auto"/>
            </w:pPr>
            <w:r>
              <w:rPr>
                <w:rFonts w:ascii="Calibri" w:hAnsi="Calibri" w:eastAsia="Calibri"/>
                <w:b w:val="0"/>
                <w:i w:val="0"/>
                <w:color w:val="222222"/>
                <w:sz w:val="20"/>
              </w:rPr>
              <w:t>AE/VAE с d = 2…16; μ(X), σ(X); latent traversal</w:t>
            </w:r>
          </w:p>
        </w:tc>
        <w:tc>
          <w:tcPr>
            <w:tcW w:type="dxa" w:w="3760"/>
          </w:tcPr>
          <w:p>
            <w:pPr>
              <w:spacing w:after="0" w:line="252" w:lineRule="auto"/>
            </w:pPr>
            <w:r>
              <w:rPr>
                <w:rFonts w:ascii="Calibri" w:hAnsi="Calibri" w:eastAsia="Calibri"/>
                <w:b w:val="0"/>
                <w:i w:val="0"/>
                <w:color w:val="222222"/>
                <w:sz w:val="20"/>
              </w:rPr>
              <w:t>Связь с хвостом/энергией; устойчивость координат; качество реконструкции</w:t>
            </w:r>
          </w:p>
        </w:tc>
      </w:tr>
      <w:tr>
        <w:trPr>
          <w:cantSplit/>
        </w:trPr>
        <w:tc>
          <w:tcPr>
            <w:tcW w:type="dxa" w:w="1700"/>
          </w:tcPr>
          <w:p>
            <w:pPr>
              <w:spacing w:after="0" w:line="252" w:lineRule="auto"/>
            </w:pPr>
            <w:r>
              <w:rPr>
                <w:rFonts w:ascii="Calibri" w:hAnsi="Calibri" w:eastAsia="Calibri"/>
                <w:b w:val="0"/>
                <w:i w:val="0"/>
                <w:color w:val="222222"/>
                <w:sz w:val="20"/>
              </w:rPr>
              <w:t>3. Физически обусловленная модель</w:t>
            </w:r>
          </w:p>
        </w:tc>
        <w:tc>
          <w:tcPr>
            <w:tcW w:type="dxa" w:w="3900"/>
          </w:tcPr>
          <w:p>
            <w:pPr>
              <w:spacing w:after="0" w:line="252" w:lineRule="auto"/>
            </w:pPr>
            <w:r>
              <w:rPr>
                <w:rFonts w:ascii="Calibri" w:hAnsi="Calibri" w:eastAsia="Calibri"/>
                <w:b w:val="0"/>
                <w:i w:val="0"/>
                <w:color w:val="222222"/>
                <w:sz w:val="20"/>
              </w:rPr>
              <w:t>CVAE + classifier; явные E, U, T, B, cdet</w:t>
            </w:r>
          </w:p>
        </w:tc>
        <w:tc>
          <w:tcPr>
            <w:tcW w:type="dxa" w:w="3760"/>
          </w:tcPr>
          <w:p>
            <w:pPr>
              <w:spacing w:after="0" w:line="252" w:lineRule="auto"/>
            </w:pPr>
            <w:r>
              <w:rPr>
                <w:rFonts w:ascii="Calibri" w:hAnsi="Calibri" w:eastAsia="Calibri"/>
                <w:b w:val="0"/>
                <w:i w:val="0"/>
                <w:color w:val="222222"/>
                <w:sz w:val="20"/>
              </w:rPr>
              <w:t>Ablation условий; отсутствие shortcut; calibrated P(y|X,c)</w:t>
            </w:r>
          </w:p>
        </w:tc>
      </w:tr>
      <w:tr>
        <w:trPr>
          <w:cantSplit/>
        </w:trPr>
        <w:tc>
          <w:tcPr>
            <w:tcW w:type="dxa" w:w="1700"/>
          </w:tcPr>
          <w:p>
            <w:pPr>
              <w:spacing w:after="0" w:line="252" w:lineRule="auto"/>
            </w:pPr>
            <w:r>
              <w:rPr>
                <w:rFonts w:ascii="Calibri" w:hAnsi="Calibri" w:eastAsia="Calibri"/>
                <w:b w:val="0"/>
                <w:i w:val="0"/>
                <w:color w:val="222222"/>
                <w:sz w:val="20"/>
              </w:rPr>
              <w:t>4. Инвариантность</w:t>
            </w:r>
          </w:p>
        </w:tc>
        <w:tc>
          <w:tcPr>
            <w:tcW w:type="dxa" w:w="3900"/>
          </w:tcPr>
          <w:p>
            <w:pPr>
              <w:spacing w:after="0" w:line="252" w:lineRule="auto"/>
            </w:pPr>
            <w:r>
              <w:rPr>
                <w:rFonts w:ascii="Calibri" w:hAnsi="Calibri" w:eastAsia="Calibri"/>
                <w:b w:val="0"/>
                <w:i w:val="0"/>
                <w:color w:val="222222"/>
                <w:sz w:val="20"/>
              </w:rPr>
              <w:t>Domain-adversarial/contrastive objective</w:t>
            </w:r>
          </w:p>
        </w:tc>
        <w:tc>
          <w:tcPr>
            <w:tcW w:type="dxa" w:w="3760"/>
          </w:tcPr>
          <w:p>
            <w:pPr>
              <w:spacing w:after="0" w:line="252" w:lineRule="auto"/>
            </w:pPr>
            <w:r>
              <w:rPr>
                <w:rFonts w:ascii="Calibri" w:hAnsi="Calibri" w:eastAsia="Calibri"/>
                <w:b w:val="0"/>
                <w:i w:val="0"/>
                <w:color w:val="222222"/>
                <w:sz w:val="20"/>
              </w:rPr>
              <w:t>Сильное γ/n и слабое предсказание домена из hparticle</w:t>
            </w:r>
          </w:p>
        </w:tc>
      </w:tr>
      <w:tr>
        <w:trPr>
          <w:cantSplit/>
        </w:trPr>
        <w:tc>
          <w:tcPr>
            <w:tcW w:type="dxa" w:w="1700"/>
          </w:tcPr>
          <w:p>
            <w:pPr>
              <w:spacing w:after="0" w:line="252" w:lineRule="auto"/>
            </w:pPr>
            <w:r>
              <w:rPr>
                <w:rFonts w:ascii="Calibri" w:hAnsi="Calibri" w:eastAsia="Calibri"/>
                <w:b w:val="0"/>
                <w:i w:val="0"/>
                <w:color w:val="222222"/>
                <w:sz w:val="20"/>
              </w:rPr>
              <w:t>5. Универсальный backbone</w:t>
            </w:r>
          </w:p>
        </w:tc>
        <w:tc>
          <w:tcPr>
            <w:tcW w:type="dxa" w:w="3900"/>
          </w:tcPr>
          <w:p>
            <w:pPr>
              <w:spacing w:after="0" w:line="252" w:lineRule="auto"/>
            </w:pPr>
            <w:r>
              <w:rPr>
                <w:rFonts w:ascii="Calibri" w:hAnsi="Calibri" w:eastAsia="Calibri"/>
                <w:b w:val="0"/>
                <w:i w:val="0"/>
                <w:color w:val="222222"/>
                <w:sz w:val="20"/>
              </w:rPr>
              <w:t>Detector embedding + малый adapter</w:t>
            </w:r>
          </w:p>
        </w:tc>
        <w:tc>
          <w:tcPr>
            <w:tcW w:type="dxa" w:w="3760"/>
          </w:tcPr>
          <w:p>
            <w:pPr>
              <w:spacing w:after="0" w:line="252" w:lineRule="auto"/>
            </w:pPr>
            <w:r>
              <w:rPr>
                <w:rFonts w:ascii="Calibri" w:hAnsi="Calibri" w:eastAsia="Calibri"/>
                <w:b w:val="0"/>
                <w:i w:val="0"/>
                <w:color w:val="222222"/>
                <w:sz w:val="20"/>
              </w:rPr>
              <w:t>Leave-one-detector-out; few-shot curve от k</w:t>
            </w:r>
          </w:p>
        </w:tc>
      </w:tr>
      <w:tr>
        <w:trPr>
          <w:cantSplit/>
        </w:trPr>
        <w:tc>
          <w:tcPr>
            <w:tcW w:type="dxa" w:w="1700"/>
          </w:tcPr>
          <w:p>
            <w:pPr>
              <w:spacing w:after="0" w:line="252" w:lineRule="auto"/>
            </w:pPr>
            <w:r>
              <w:rPr>
                <w:rFonts w:ascii="Calibri" w:hAnsi="Calibri" w:eastAsia="Calibri"/>
                <w:b w:val="0"/>
                <w:i w:val="0"/>
                <w:color w:val="222222"/>
                <w:sz w:val="20"/>
              </w:rPr>
              <w:t>6. Эксплуатационный прототип</w:t>
            </w:r>
          </w:p>
        </w:tc>
        <w:tc>
          <w:tcPr>
            <w:tcW w:type="dxa" w:w="3900"/>
          </w:tcPr>
          <w:p>
            <w:pPr>
              <w:spacing w:after="0" w:line="252" w:lineRule="auto"/>
            </w:pPr>
            <w:r>
              <w:rPr>
                <w:rFonts w:ascii="Calibri" w:hAnsi="Calibri" w:eastAsia="Calibri"/>
                <w:b w:val="0"/>
                <w:i w:val="0"/>
                <w:color w:val="222222"/>
                <w:sz w:val="20"/>
              </w:rPr>
              <w:t>Контроль дрейфа, unknown/OOD, versioning</w:t>
            </w:r>
          </w:p>
        </w:tc>
        <w:tc>
          <w:tcPr>
            <w:tcW w:type="dxa" w:w="3760"/>
          </w:tcPr>
          <w:p>
            <w:pPr>
              <w:spacing w:after="0" w:line="252" w:lineRule="auto"/>
            </w:pPr>
            <w:r>
              <w:rPr>
                <w:rFonts w:ascii="Calibri" w:hAnsi="Calibri" w:eastAsia="Calibri"/>
                <w:b w:val="0"/>
                <w:i w:val="0"/>
                <w:color w:val="222222"/>
                <w:sz w:val="20"/>
              </w:rPr>
              <w:t>Испытания в диапазоне условий; безопасный отказ; воспроизводимость</w:t>
            </w:r>
          </w:p>
        </w:tc>
      </w:tr>
    </w:tbl>
    <w:p>
      <w:pPr>
        <w:spacing w:after="40"/>
      </w:pPr>
    </w:p>
    <w:p>
      <w:pPr>
        <w:pStyle w:val="Heading2"/>
        <w:keepNext/>
      </w:pPr>
      <w:r>
        <w:t>Принципы, которые должны сохраняться на всех этапах</w:t>
      </w:r>
    </w:p>
    <w:p>
      <w:pPr>
        <w:pStyle w:val="PSDBullet"/>
        <w:spacing w:after="80" w:line="280" w:lineRule="auto"/>
      </w:pPr>
      <w:r>
        <w:rPr>
          <w:rFonts w:ascii="Calibri" w:hAnsi="Calibri" w:eastAsia="Calibri"/>
          <w:b w:val="0"/>
          <w:i w:val="0"/>
          <w:color w:val="222222"/>
          <w:sz w:val="22"/>
        </w:rPr>
        <w:t>Физический смысл латента подтверждается экспериментом, а не именем нейрона.</w:t>
      </w:r>
    </w:p>
    <w:p>
      <w:pPr>
        <w:pStyle w:val="PSDBullet"/>
        <w:spacing w:after="80" w:line="280" w:lineRule="auto"/>
      </w:pPr>
      <w:r>
        <w:rPr>
          <w:rFonts w:ascii="Calibri" w:hAnsi="Calibri" w:eastAsia="Calibri"/>
          <w:b w:val="0"/>
          <w:i w:val="0"/>
          <w:color w:val="222222"/>
          <w:sz w:val="22"/>
        </w:rPr>
        <w:t>Реконструкция, классификация, калибровка и перенос оцениваются раздельно.</w:t>
      </w:r>
    </w:p>
    <w:p>
      <w:pPr>
        <w:pStyle w:val="PSDBullet"/>
        <w:spacing w:after="80" w:line="280" w:lineRule="auto"/>
      </w:pPr>
      <w:r>
        <w:rPr>
          <w:rFonts w:ascii="Calibri" w:hAnsi="Calibri" w:eastAsia="Calibri"/>
          <w:b w:val="0"/>
          <w:i w:val="0"/>
          <w:color w:val="222222"/>
          <w:sz w:val="22"/>
        </w:rPr>
        <w:t>Вероятности калибруются; для OOD предусмотрен отказ от решения.</w:t>
      </w:r>
    </w:p>
    <w:p>
      <w:pPr>
        <w:pStyle w:val="PSDBullet"/>
        <w:spacing w:after="80" w:line="280" w:lineRule="auto"/>
      </w:pPr>
      <w:r>
        <w:rPr>
          <w:rFonts w:ascii="Calibri" w:hAnsi="Calibri" w:eastAsia="Calibri"/>
          <w:b w:val="0"/>
          <w:i w:val="0"/>
          <w:color w:val="222222"/>
          <w:sz w:val="22"/>
        </w:rPr>
        <w:t>Сравнение с классическим PSD проводится при одинаковых энергии и фоне.</w:t>
      </w:r>
    </w:p>
    <w:p>
      <w:pPr>
        <w:pStyle w:val="PSDBullet"/>
        <w:spacing w:after="80" w:line="280" w:lineRule="auto"/>
      </w:pPr>
      <w:r>
        <w:rPr>
          <w:rFonts w:ascii="Calibri" w:hAnsi="Calibri" w:eastAsia="Calibri"/>
          <w:b w:val="0"/>
          <w:i w:val="0"/>
          <w:color w:val="222222"/>
          <w:sz w:val="22"/>
        </w:rPr>
        <w:t>Адаптация меняет малую часть параметров и не маскирует физический дрейф.</w:t>
      </w:r>
    </w:p>
    <w:p>
      <w:pPr>
        <w:spacing w:before="0" w:after="0" w:line="264" w:lineRule="auto"/>
      </w:pPr>
      <w:r>
        <w:rPr>
          <w:rFonts w:ascii="Calibri" w:hAnsi="Calibri" w:eastAsia="Calibri"/>
          <w:b/>
          <w:i w:val="0"/>
          <w:color w:val="222222"/>
          <w:sz w:val="22"/>
        </w:rPr>
        <w:t>Целевой итог.</w:t>
      </w:r>
      <w:r>
        <w:rPr>
          <w:rFonts w:ascii="Calibri" w:hAnsi="Calibri" w:eastAsia="Calibri"/>
          <w:b w:val="0"/>
          <w:i w:val="0"/>
          <w:color w:val="222222"/>
          <w:sz w:val="22"/>
        </w:rPr>
        <w:t xml:space="preserve"> Universal PSD backbone + condition-aware inference + small detector adapter + calibrated uncertainty.</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val="0"/>
        <w:i w:val="0"/>
        <w:color w:val="5B6573"/>
        <w:sz w:val="18"/>
      </w:rPr>
      <w:t xml:space="preserve">Стр. </w:t>
    </w:r>
    <w:r>
      <w:rPr>
        <w:rFonts w:ascii="Calibri" w:hAnsi="Calibri" w:eastAsia="Calibri"/>
        <w:b w:val="0"/>
        <w:i w:val="0"/>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val="0"/>
        <w:i w:val="0"/>
        <w:color w:val="5B6573"/>
        <w:sz w:val="17"/>
      </w:rPr>
      <w:t>PSD_ML  |  Концепция развития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num w:numId="10">
    <w:abstractNumId w:val="9"/>
  </w:num>
  <w:abstractNum w:abstractNumId="10">
    <w:multiLevelType w:val="singleLevel"/>
    <w:lvl w:ilvl="0">
      <w:start w:val="1"/>
      <w:numFmt w:val="bullet"/>
      <w:lvlText w:val="–"/>
      <w:suff w:val="tab"/>
      <w:pPr>
        <w:tabs>
          <w:tab w:val="num" w:pos="1080"/>
        </w:tabs>
        <w:ind w:left="108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DBullet">
    <w:name w:val="PSD Bullet"/>
    <w:basedOn w:val="Normal"/>
    <w:pPr>
      <w:numPr>
        <w:ilvl w:val="0"/>
        <w:numId w:val="10"/>
      </w:numPr>
      <w:ind w:left="720" w:hanging="360"/>
    </w:pPr>
  </w:style>
  <w:style w:type="paragraph" w:customStyle="1" w:styleId="PSDBullet2">
    <w:name w:val="PSD Bullet 2"/>
    <w:basedOn w:val="Normal"/>
    <w:pPr>
      <w:numPr>
        <w:ilvl w:val="0"/>
        <w:numId w:val="11"/>
      </w:numPr>
      <w:ind w:left="1080" w:hanging="360"/>
    </w:pPr>
  </w:style>
  <w:style w:type="paragraph" w:customStyle="1" w:styleId="PSDNumber">
    <w:name w:val="PSD Number"/>
    <w:basedOn w:val="Normal"/>
    <w:pPr>
      <w:numPr>
        <w:ilvl w:val="0"/>
        <w:numId w:val="12"/>
      </w:numPr>
      <w:ind w:left="72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Идеи развития PSD_ML</dc:title>
  <dc:subject>VAE, CVAE, domain adaptation и универсальная архитектура PSD</dc:subject>
  <dc:creator>PSD_ML</dc:creator>
  <cp:keywords>PSD, VAE, CVAE, domain adaptation, neutron gamma discrimination</cp:keywords>
  <dc:description>generated by python-docx</dc:description>
  <cp:lastModifiedBy/>
  <cp:revision>1</cp:revision>
  <dcterms:created xsi:type="dcterms:W3CDTF">2013-12-23T23:15:00Z</dcterms:created>
  <dcterms:modified xsi:type="dcterms:W3CDTF">2013-12-23T23:15:00Z</dcterms:modified>
  <cp:category/>
</cp:coreProperties>
</file>