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9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5813425</wp:posOffset>
            </wp:positionH>
            <wp:positionV relativeFrom="page">
              <wp:posOffset>213995</wp:posOffset>
            </wp:positionV>
            <wp:extent cx="1371600" cy="7385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_GoBack"/>
      <w:bookmarkStart w:id="2" w:name="page1"/>
      <w:bookmarkStart w:id="3" w:name="_GoBack"/>
      <w:bookmarkEnd w:id="2"/>
      <w:bookmarkEnd w:id="3"/>
    </w:p>
    <w:p>
      <w:pPr>
        <w:pStyle w:val="Normal"/>
        <w:ind w:right="660" w:hanging="0"/>
        <w:jc w:val="center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EVALUACIÓN DE INGRESO</w:t>
      </w:r>
    </w:p>
    <w:p>
      <w:pPr>
        <w:pStyle w:val="Normal"/>
        <w:spacing w:lineRule="exact" w:line="3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right="660" w:hanging="0"/>
        <w:jc w:val="center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COMUNICACIÓN ORAL Y ESCRITA</w:t>
      </w:r>
    </w:p>
    <w:p>
      <w:pPr>
        <w:pStyle w:val="Normal"/>
        <w:spacing w:lineRule="exact" w:line="31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tbl>
      <w:tblPr>
        <w:tblW w:w="9760" w:type="dxa"/>
        <w:jc w:val="left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58"/>
        <w:gridCol w:w="2542"/>
        <w:gridCol w:w="4760"/>
      </w:tblGrid>
      <w:tr>
        <w:trPr>
          <w:trHeight w:val="244" w:hRule="atLeast"/>
        </w:trPr>
        <w:tc>
          <w:tcPr>
            <w:tcW w:w="2458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Fecha:</w:t>
            </w:r>
          </w:p>
        </w:tc>
        <w:tc>
          <w:tcPr>
            <w:tcW w:w="2542" w:type="dxa"/>
            <w:tcBorders/>
            <w:vAlign w:val="bottom"/>
          </w:tcPr>
          <w:p>
            <w:pPr>
              <w:pStyle w:val="Normal"/>
              <w:widowControl w:val="false"/>
              <w:rPr>
                <w:sz w:val="21"/>
                <w:szCs w:val="21"/>
                <w:lang w:val="es-AR" w:eastAsia="es-AR" w:bidi="ar-SA"/>
              </w:rPr>
            </w:pPr>
            <w:r>
              <w:rPr>
                <w:sz w:val="21"/>
                <w:szCs w:val="21"/>
                <w:lang w:val="es-AR" w:eastAsia="es-AR" w:bidi="ar-SA"/>
              </w:rPr>
              <w:t xml:space="preserve">        </w:t>
            </w:r>
            <w:r>
              <w:rPr>
                <w:sz w:val="21"/>
                <w:szCs w:val="21"/>
                <w:lang w:val="es-AR" w:eastAsia="es-AR" w:bidi="ar-SA"/>
              </w:rPr>
              <w:t>15/10/2022</w:t>
            </w:r>
          </w:p>
        </w:tc>
        <w:tc>
          <w:tcPr>
            <w:tcW w:w="4760" w:type="dxa"/>
            <w:tcBorders/>
            <w:vAlign w:val="bottom"/>
          </w:tcPr>
          <w:p>
            <w:pPr>
              <w:pStyle w:val="Normal"/>
              <w:widowControl w:val="false"/>
              <w:rPr>
                <w:sz w:val="21"/>
                <w:szCs w:val="21"/>
                <w:lang w:val="es-AR" w:eastAsia="es-AR" w:bidi="ar-SA"/>
              </w:rPr>
            </w:pPr>
            <w:r>
              <w:rPr>
                <w:sz w:val="21"/>
                <w:szCs w:val="21"/>
                <w:lang w:val="es-AR" w:eastAsia="es-AR" w:bidi="ar-SA"/>
              </w:rPr>
            </w:r>
          </w:p>
        </w:tc>
      </w:tr>
      <w:tr>
        <w:trPr>
          <w:trHeight w:val="281" w:hRule="atLeast"/>
        </w:trPr>
        <w:tc>
          <w:tcPr>
            <w:tcW w:w="2458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Apellido:</w:t>
            </w:r>
          </w:p>
        </w:tc>
        <w:tc>
          <w:tcPr>
            <w:tcW w:w="2542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  <w:lang w:val="es-AR" w:eastAsia="es-AR" w:bidi="ar-SA"/>
              </w:rPr>
            </w:pPr>
            <w:r>
              <w:rPr>
                <w:sz w:val="24"/>
                <w:szCs w:val="24"/>
                <w:lang w:val="es-AR" w:eastAsia="es-AR" w:bidi="ar-SA"/>
              </w:rPr>
              <w:t xml:space="preserve">       </w:t>
            </w:r>
            <w:r>
              <w:rPr>
                <w:sz w:val="24"/>
                <w:szCs w:val="24"/>
                <w:lang w:val="es-AR" w:eastAsia="es-AR" w:bidi="ar-SA"/>
              </w:rPr>
              <w:t>Urso Iván</w:t>
            </w:r>
          </w:p>
        </w:tc>
        <w:tc>
          <w:tcPr>
            <w:tcW w:w="4760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  <w:lang w:val="es-AR" w:eastAsia="es-AR" w:bidi="ar-SA"/>
              </w:rPr>
            </w:pPr>
            <w:r>
              <w:rPr>
                <w:sz w:val="24"/>
                <w:szCs w:val="24"/>
                <w:lang w:val="es-AR" w:eastAsia="es-AR" w:bidi="ar-SA"/>
              </w:rPr>
            </w:r>
          </w:p>
        </w:tc>
      </w:tr>
      <w:tr>
        <w:trPr>
          <w:trHeight w:val="281" w:hRule="atLeast"/>
        </w:trPr>
        <w:tc>
          <w:tcPr>
            <w:tcW w:w="2458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Nº de Documento:</w:t>
            </w:r>
          </w:p>
        </w:tc>
        <w:tc>
          <w:tcPr>
            <w:tcW w:w="2542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  <w:lang w:val="es-AR" w:eastAsia="es-AR" w:bidi="ar-SA"/>
              </w:rPr>
            </w:pPr>
            <w:r>
              <w:rPr>
                <w:sz w:val="24"/>
                <w:szCs w:val="24"/>
                <w:lang w:val="en-US" w:eastAsia="es-AR" w:bidi="ar-SA"/>
              </w:rPr>
              <w:t xml:space="preserve">       </w:t>
            </w:r>
            <w:r>
              <w:rPr>
                <w:sz w:val="24"/>
                <w:szCs w:val="24"/>
                <w:lang w:val="es-AR" w:eastAsia="es-AR" w:bidi="ar-SA"/>
              </w:rPr>
              <w:t>45679391</w:t>
            </w:r>
          </w:p>
        </w:tc>
        <w:tc>
          <w:tcPr>
            <w:tcW w:w="4760" w:type="dxa"/>
            <w:tcBorders/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  <w:lang w:val="es-AR" w:eastAsia="es-AR" w:bidi="ar-SA"/>
              </w:rPr>
            </w:pPr>
            <w:r>
              <w:rPr>
                <w:sz w:val="24"/>
                <w:szCs w:val="24"/>
                <w:lang w:val="es-AR" w:eastAsia="es-AR" w:bidi="ar-SA"/>
              </w:rPr>
            </w:r>
          </w:p>
        </w:tc>
      </w:tr>
      <w:tr>
        <w:trPr>
          <w:trHeight w:val="281" w:hRule="atLeast"/>
        </w:trPr>
        <w:tc>
          <w:tcPr>
            <w:tcW w:w="2458" w:type="dxa"/>
            <w:tcBorders/>
            <w:vAlign w:val="bottom"/>
          </w:tcPr>
          <w:p>
            <w:pPr>
              <w:pStyle w:val="Normal"/>
              <w:widowControl w:val="false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 xml:space="preserve">Campus Virtual </w:t>
            </w:r>
            <w:r>
              <w:rPr>
                <w:rFonts w:eastAsia="Calibri" w:cs="Calibri" w:ascii="Calibri" w:hAnsi="Calibri"/>
                <w:i/>
                <w:iCs/>
                <w:sz w:val="20"/>
                <w:szCs w:val="20"/>
                <w:lang w:val="es-AR" w:eastAsia="es-AR" w:bidi="ar-SA"/>
              </w:rPr>
              <w:t>UAIOnline</w:t>
            </w:r>
          </w:p>
        </w:tc>
        <w:tc>
          <w:tcPr>
            <w:tcW w:w="2542" w:type="dxa"/>
            <w:tcBorders/>
            <w:vAlign w:val="bottom"/>
          </w:tcPr>
          <w:p>
            <w:pPr>
              <w:pStyle w:val="Normal"/>
              <w:widowControl w:val="false"/>
              <w:ind w:left="380" w:hanging="0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i/>
                <w:iCs/>
                <w:sz w:val="20"/>
                <w:szCs w:val="20"/>
                <w:lang w:val="es-AR" w:eastAsia="es-AR" w:bidi="ar-SA"/>
              </w:rPr>
              <w:t>Carrera</w:t>
            </w: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:</w:t>
            </w:r>
          </w:p>
        </w:tc>
        <w:tc>
          <w:tcPr>
            <w:tcW w:w="4760" w:type="dxa"/>
            <w:tcBorders/>
            <w:vAlign w:val="bottom"/>
          </w:tcPr>
          <w:p>
            <w:pPr>
              <w:pStyle w:val="Normal"/>
              <w:widowControl w:val="false"/>
              <w:ind w:right="1570" w:hanging="0"/>
              <w:jc w:val="right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Modalidad: Distancia</w:t>
            </w:r>
          </w:p>
        </w:tc>
      </w:tr>
      <w:tr>
        <w:trPr>
          <w:trHeight w:val="625" w:hRule="atLeast"/>
        </w:trPr>
        <w:tc>
          <w:tcPr>
            <w:tcW w:w="500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lang w:val="es-AR" w:eastAsia="es-AR" w:bidi="ar-SA"/>
              </w:rPr>
            </w:pPr>
            <w:r>
              <w:rPr>
                <w:rFonts w:eastAsia="Calibri" w:cs="Calibri" w:ascii="Calibri" w:hAnsi="Calibri"/>
                <w:b/>
                <w:bCs/>
                <w:sz w:val="20"/>
                <w:szCs w:val="20"/>
                <w:lang w:val="es-AR" w:eastAsia="es-AR" w:bidi="ar-SA"/>
              </w:rPr>
              <w:t>Objetivos de la evaluación</w:t>
            </w:r>
            <w:r>
              <w:rPr>
                <w:rFonts w:eastAsia="Calibri" w:cs="Calibri" w:ascii="Calibri" w:hAnsi="Calibri"/>
                <w:sz w:val="20"/>
                <w:szCs w:val="20"/>
                <w:lang w:val="es-AR" w:eastAsia="es-AR" w:bidi="ar-SA"/>
              </w:rPr>
              <w:t>: Que usted logre:</w:t>
            </w:r>
          </w:p>
        </w:tc>
        <w:tc>
          <w:tcPr>
            <w:tcW w:w="4760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lang w:val="es-AR" w:eastAsia="es-AR" w:bidi="ar-SA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lang w:val="es-AR" w:eastAsia="es-AR" w:bidi="ar-SA"/>
              </w:rPr>
              <w:t>1</w:t>
            </w:r>
          </w:p>
        </w:tc>
      </w:tr>
    </w:tbl>
    <w:p>
      <w:pPr>
        <w:pStyle w:val="Normal"/>
        <w:spacing w:lineRule="exact" w:line="20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6066790</wp:posOffset>
            </wp:positionH>
            <wp:positionV relativeFrom="paragraph">
              <wp:posOffset>-276225</wp:posOffset>
            </wp:positionV>
            <wp:extent cx="502920" cy="50292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208"/>
        <w:ind w:left="9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Aplicar estrategias comunicacionales inherentes a la comprensión y producción textual</w:t>
      </w:r>
    </w:p>
    <w:p>
      <w:pPr>
        <w:pStyle w:val="Normal"/>
        <w:spacing w:lineRule="exact" w:line="37"/>
        <w:rPr>
          <w:rFonts w:eastAsia="Times New Roman"/>
          <w:sz w:val="20"/>
          <w:szCs w:val="20"/>
          <w:lang w:val="es-AR" w:eastAsia="es-AR" w:bidi="ar-SA"/>
        </w:rPr>
      </w:pPr>
      <w:r>
        <w:rPr>
          <w:rFonts w:eastAsia="Times New Roman"/>
          <w:sz w:val="20"/>
          <w:szCs w:val="20"/>
          <w:lang w:val="es-AR" w:eastAsia="es-AR" w:bidi="ar-S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ind w:left="9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Utilizar técnicas para la re-elaboración de la información abordada.</w:t>
      </w:r>
    </w:p>
    <w:p>
      <w:pPr>
        <w:pStyle w:val="Normal"/>
        <w:spacing w:lineRule="exact" w:line="3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left="260" w:hanging="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3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left="260" w:hanging="0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Modalidad de administración</w:t>
      </w: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: Presencial - Individual - Escrito (en tinta).</w:t>
      </w:r>
    </w:p>
    <w:p>
      <w:pPr>
        <w:pStyle w:val="Normal"/>
        <w:spacing w:lineRule="exact" w:line="31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left="260" w:hanging="0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Consignas de trabajo</w:t>
      </w: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:</w:t>
      </w:r>
    </w:p>
    <w:p>
      <w:pPr>
        <w:pStyle w:val="Normal"/>
        <w:spacing w:lineRule="exact" w:line="31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left="260" w:hanging="0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Por favor, realice una lectura comprensiva del siguiente texto:</w:t>
      </w:r>
    </w:p>
    <w:p>
      <w:pPr>
        <w:pStyle w:val="Normal"/>
        <w:spacing w:lineRule="exact" w:line="317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ind w:left="2060" w:hanging="0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UN TRATADO INTERNACIONAL PARA EL CONTROL DEL TABACO</w:t>
      </w:r>
    </w:p>
    <w:p>
      <w:pPr>
        <w:pStyle w:val="Normal"/>
        <w:spacing w:lineRule="exact" w:line="326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En la actualidad,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consumo de tabaco es la principal causa de mortalidad evitable en el mundo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. Habida cuenta de los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4,9 millones de defunciones anuales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relacionadas con el tabaco,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ningún otro producto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de consumo es tan peligroso ni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mata a tantas personas como el tabaco.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Pero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gracias a la adopción de este tratado internacional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nuevo y pionero,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se podrá proteger a miles de millones de personas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de las devastadoras repercusiones del consumo de tabaco y de la exposición al humo de tabaco.</w:t>
      </w:r>
    </w:p>
    <w:p>
      <w:pPr>
        <w:pStyle w:val="Normal"/>
        <w:spacing w:lineRule="exact" w:line="331"/>
        <w:rPr>
          <w:rFonts w:eastAsiaTheme="minorEastAsia"/>
          <w:sz w:val="24"/>
          <w:szCs w:val="24"/>
          <w:highlight w:val="none"/>
          <w:shd w:fill="FFDBB6" w:val="clear"/>
          <w:lang w:val="es-AR" w:eastAsia="es-AR" w:bidi="ar-SA"/>
        </w:rPr>
      </w:pPr>
      <w:r>
        <w:rPr>
          <w:rFonts w:eastAsiaTheme="minorEastAsia"/>
          <w:sz w:val="24"/>
          <w:szCs w:val="24"/>
          <w:shd w:fill="FFDBB6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21 de mayo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de 2003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fue un día histórico para la salud pública mundial.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En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la 56a Asamblea Mundial de la Salud, los 192 Estados Miembros de la OMS adoptaron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por unanimidad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primer tratado mundial de salud pública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, el Convenio Marco de la OMS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para el Control del Tabaco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Negociado bajo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el auspicio de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la OMS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, éste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es el primer instrumento jurídico diseñado para reducir las defunciones y enfermedades relacionadas con el tabaco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en todo el mundo. Ahora es decisivo que los países firmen y ratifiquen el Convenio lo antes posible.</w:t>
      </w:r>
    </w:p>
    <w:p>
      <w:pPr>
        <w:pStyle w:val="Normal"/>
        <w:spacing w:lineRule="exact" w:line="329"/>
        <w:rPr>
          <w:rFonts w:eastAsiaTheme="minorEastAsia"/>
          <w:sz w:val="24"/>
          <w:szCs w:val="24"/>
          <w:highlight w:val="none"/>
          <w:shd w:fill="FFDBB6" w:val="clear"/>
          <w:lang w:val="es-AR" w:eastAsia="es-AR" w:bidi="ar-SA"/>
        </w:rPr>
      </w:pPr>
      <w:r>
        <w:rPr>
          <w:rFonts w:eastAsiaTheme="minorEastAsia"/>
          <w:sz w:val="24"/>
          <w:szCs w:val="24"/>
          <w:shd w:fill="FFDBB6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Entre muchas otras medidas,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tratado exige que los países impongan restricciones a la publicidad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patrocinio y la promoción del tabaco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;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adopten un nuevo envasado y etiquetado de los productos de tabaco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;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establezcan controles para velar por un aire limpio en ambientes interiores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; y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fortalezcan la legislación para combatir enérgicamente el contrabando de tabaco.</w:t>
      </w:r>
    </w:p>
    <w:p>
      <w:pPr>
        <w:pStyle w:val="Normal"/>
        <w:spacing w:lineRule="exact" w:line="330"/>
        <w:rPr>
          <w:rFonts w:eastAsiaTheme="minorEastAsia"/>
          <w:sz w:val="24"/>
          <w:szCs w:val="24"/>
          <w:highlight w:val="none"/>
          <w:shd w:fill="FFDBB6" w:val="clear"/>
          <w:lang w:val="es-AR" w:eastAsia="es-AR" w:bidi="ar-SA"/>
        </w:rPr>
      </w:pPr>
      <w:r>
        <w:rPr>
          <w:rFonts w:eastAsiaTheme="minorEastAsia"/>
          <w:sz w:val="24"/>
          <w:szCs w:val="24"/>
          <w:shd w:fill="FFDBB6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Se publicitan productos de tabaco en competiciones deportivas, conciertos y películas, así como a través de la moda y, en realidad, en cualquier lugar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 desde el cual la industria tabacalera pueda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dirigirse a nuevos fumadores potenciales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El tratado obliga a los Estados Partes a proceder a una prohibición integral de la publicidad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,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la promoción y el patrocinio del tabaco, en la medida en que lo permitan sus respectivas constituciones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FFDBB6" w:val="clear"/>
          <w:lang w:val="es-AR" w:eastAsia="es-AR" w:bidi="ar-SA"/>
        </w:rPr>
        <w:t>Las Partes cuya constitución o principios constitucionales no permitan una prohibición integral deben aplicar una serie de restricciones a toda publicidad, promoción y patrocinio</w:t>
      </w:r>
      <w:r>
        <w:rPr>
          <w:rFonts w:eastAsia="Calibri" w:cs="Calibri" w:ascii="Calibri" w:hAnsi="Calibri"/>
          <w:sz w:val="20"/>
          <w:szCs w:val="20"/>
          <w:shd w:fill="FFDBB6" w:val="clear"/>
          <w:lang w:val="es-AR" w:eastAsia="es-AR" w:bidi="ar-SA"/>
        </w:rPr>
        <w:t>.</w:t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FFDBB6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b/>
          <w:b/>
          <w:bCs/>
          <w:highlight w:val="none"/>
          <w:u w:val="singl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u w:val="single"/>
          <w:shd w:fill="FFDBB6" w:val="clear"/>
          <w:lang w:val="es-AR" w:eastAsia="es-AR" w:bidi="ar-SA"/>
        </w:rPr>
        <w:t>NOTA MARGINAL 1:</w:t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u w:val="none"/>
          <w:shd w:fill="FFDBB6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El consumo de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tabaco es la mayor causa evitable de mortalidad en el mundo. El 21 de mayo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del 2003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, la asamblea mundial de la salud y la OMS adoptaron el primer tratado mundial de salud publica para el control de tabaco. E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l cual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exige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impone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r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restricciones a la publicidad del tabaco,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 xml:space="preserve">por este es obligatorio controlar el etiquetado, la publicidad, la promoción y/o el  patrocinio de las empresas tabaqueras 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en la medida que lo permitan sus constituciones</w:t>
      </w:r>
      <w:r>
        <w:rPr>
          <w:rFonts w:eastAsia="Calibri" w:cs="Calibri" w:ascii="Calibri" w:hAnsi="Calibri"/>
          <w:sz w:val="20"/>
          <w:szCs w:val="20"/>
          <w:u w:val="none"/>
          <w:shd w:fill="FFDBB6" w:val="clear"/>
          <w:lang w:val="es-AR" w:eastAsia="es-AR" w:bidi="ar-SA"/>
        </w:rPr>
        <w:t>.</w:t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sz w:val="24"/>
          <w:szCs w:val="24"/>
          <w:lang w:val="es-AR" w:eastAsia="es-AR" w:bidi="ar-SA"/>
        </w:rPr>
      </w:pPr>
      <w:r>
        <w:rPr>
          <w:sz w:val="24"/>
          <w:szCs w:val="24"/>
          <w:lang w:val="es-AR" w:eastAsia="es-AR" w:bidi="ar-SA"/>
        </w:rPr>
      </w:r>
    </w:p>
    <w:p>
      <w:pPr>
        <w:pStyle w:val="Normal"/>
        <w:spacing w:lineRule="auto" w:line="220"/>
        <w:ind w:left="260" w:right="920" w:hanging="0"/>
        <w:jc w:val="both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FD095" w:val="clear"/>
          <w:lang w:val="es-AR" w:eastAsia="es-AR" w:bidi="ar-SA"/>
        </w:rPr>
        <w:t xml:space="preserve">A medida que se aplican las restricciones a la publicidad, el envasado </w:t>
      </w:r>
      <w:r>
        <w:rPr>
          <w:rFonts w:eastAsia="Calibri" w:cs="Calibri" w:ascii="Calibri" w:hAnsi="Calibri"/>
          <w:sz w:val="20"/>
          <w:szCs w:val="20"/>
          <w:u w:val="single"/>
          <w:shd w:fill="AFD095" w:val="clear"/>
          <w:lang w:val="es-AR" w:eastAsia="es-AR" w:bidi="ar-SA"/>
        </w:rPr>
        <w:t>del tabaco desempeña una función cada vez más importante en el consumo del producto</w:t>
      </w:r>
      <w:r>
        <w:rPr>
          <w:rFonts w:eastAsia="Calibri" w:cs="Calibri" w:ascii="Calibri" w:hAnsi="Calibri"/>
          <w:sz w:val="20"/>
          <w:szCs w:val="20"/>
          <w:shd w:fill="AFD095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AFD095" w:val="clear"/>
          <w:lang w:val="es-AR" w:eastAsia="es-AR" w:bidi="ar-SA"/>
        </w:rPr>
        <w:t xml:space="preserve">El tratado obliga </w:t>
      </w:r>
      <w:r>
        <w:rPr>
          <w:rFonts w:eastAsia="Calibri" w:cs="Calibri" w:ascii="Calibri" w:hAnsi="Calibri"/>
          <w:sz w:val="20"/>
          <w:szCs w:val="20"/>
          <w:shd w:fill="AFD095" w:val="clear"/>
          <w:lang w:val="es-AR" w:eastAsia="es-AR" w:bidi="ar-SA"/>
        </w:rPr>
        <w:t xml:space="preserve">a los Estados Partes a adoptar e introducir </w:t>
      </w:r>
      <w:r>
        <w:rPr>
          <w:rFonts w:eastAsia="Calibri" w:cs="Calibri" w:ascii="Calibri" w:hAnsi="Calibri"/>
          <w:sz w:val="20"/>
          <w:szCs w:val="20"/>
          <w:u w:val="single"/>
          <w:shd w:fill="AFD095" w:val="clear"/>
          <w:lang w:val="es-AR" w:eastAsia="es-AR" w:bidi="ar-SA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5813425</wp:posOffset>
            </wp:positionH>
            <wp:positionV relativeFrom="page">
              <wp:posOffset>213995</wp:posOffset>
            </wp:positionV>
            <wp:extent cx="1371600" cy="73850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20"/>
          <w:szCs w:val="20"/>
          <w:u w:val="single"/>
          <w:shd w:fill="AFD095" w:val="clear"/>
          <w:lang w:val="es-AR" w:eastAsia="es-AR" w:bidi="ar-SA"/>
        </w:rPr>
        <w:t>en los productos de tabaco y el envasado externo de los mismos advertencias y mensajes</w:t>
      </w:r>
    </w:p>
    <w:tbl>
      <w:tblPr>
        <w:tblW w:w="9780" w:type="dxa"/>
        <w:jc w:val="left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40"/>
        <w:gridCol w:w="520"/>
        <w:gridCol w:w="20"/>
      </w:tblGrid>
      <w:tr>
        <w:trPr>
          <w:trHeight w:val="244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u w:val="singl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sanitarios grandes, claros, visibles, legibles y rotativos que ocupen al menos el 30% de la superficie externa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principal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.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Esto se exige dentro de un plazo de tres años a partir de la entrada en vigor del Convenio.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523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El humo de tabaco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de segunda mano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es una amenaza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real y considerable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para la salud pública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.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Los niños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corren riesgos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particulares; la exposición de los niños al humo de tabaco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puede causar afecciones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2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3"/>
              <w:rPr>
                <w:rFonts w:eastAsiaTheme="minorEastAsia"/>
                <w:highlight w:val="none"/>
                <w:u w:val="singl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respiratorias, enfermedades del oído medio, ataques de asma y síndrome de muerte súbita del recién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nacido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(SMSRN). 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El tratado obliga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a los Estados Partes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a adoptar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y aplicar (en las áreas sometidas a la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jurisdicción nacional vigente y de conformidad con la legislación nacional o promover (en otros niveles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jurisdiccionales)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medidas eficaces que protejan de la exposición al humo de tabaco en lugares de trabajo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3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interiores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,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transportes públicos, lugares públicos interiores y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, según convenga,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otros lugares públicos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. La</w:t>
            </w:r>
          </w:p>
        </w:tc>
        <w:tc>
          <w:tcPr>
            <w:tcW w:w="520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shd w:fill="AFD095" w:val="clear"/>
                <w:lang w:val="es-AR" w:eastAsia="es-AR" w:bidi="ar-SA"/>
              </w:rPr>
              <w:t>2</w:t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100" w:hRule="atLeast"/>
          <w:cantSplit w:val="true"/>
        </w:trPr>
        <w:tc>
          <w:tcPr>
            <w:tcW w:w="9240" w:type="dxa"/>
            <w:vMerge w:val="restart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protección de la exposición al humo de tabaco resulta en consecuencia, un aspecto relevante a considerar.</w:t>
            </w:r>
          </w:p>
        </w:tc>
        <w:tc>
          <w:tcPr>
            <w:tcW w:w="520" w:type="dxa"/>
            <w:vMerge w:val="continue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172" w:hRule="atLeast"/>
          <w:cantSplit w:val="true"/>
        </w:trPr>
        <w:tc>
          <w:tcPr>
            <w:tcW w:w="9240" w:type="dxa"/>
            <w:vMerge w:val="continue"/>
            <w:tcBorders/>
            <w:vAlign w:val="bottom"/>
          </w:tcPr>
          <w:p>
            <w:pPr>
              <w:pStyle w:val="Normal"/>
              <w:widowControl w:val="false"/>
              <w:rPr>
                <w:sz w:val="12"/>
                <w:szCs w:val="12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2"/>
                <w:szCs w:val="12"/>
                <w:shd w:fill="AFD095" w:val="clear"/>
                <w:lang w:val="es-AR" w:eastAsia="es-AR" w:bidi="ar-SA"/>
              </w:rPr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60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Paralelamente,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los cigarrillos son objeto frecuente de contrabando en todo el mundo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. Además de conseguir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3"/>
              <w:rPr>
                <w:rFonts w:eastAsiaTheme="minorEastAsia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que las marcas internacionales sean más asequibles y accesibles,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 xml:space="preserve">los cigarrillos 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que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son objeto de comercio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 xml:space="preserve">ilegal evaden 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las restricciones y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la reglamentación sanitaria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.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El tratado obliga a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 xml:space="preserve"> los Estados Partes a adoptar y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single"/>
                <w:shd w:fill="AFD095" w:val="clear"/>
                <w:lang w:val="es-AR" w:eastAsia="es-AR" w:bidi="ar-SA"/>
              </w:rPr>
              <w:t>aplicar medidas eficaces para eliminar el comercio ilícito</w:t>
            </w: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, la fabricación ilícita y la falsificación de productos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  <w:tr>
        <w:trPr>
          <w:trHeight w:val="242" w:hRule="atLeast"/>
          <w:cantSplit w:val="true"/>
        </w:trPr>
        <w:tc>
          <w:tcPr>
            <w:tcW w:w="92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3"/>
              <w:rPr>
                <w:highlight w:val="none"/>
                <w:shd w:fill="AFD095" w:val="clear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AFD095" w:val="clear"/>
                <w:lang w:val="es-AR" w:eastAsia="es-AR" w:bidi="ar-SA"/>
              </w:rPr>
              <w:t>de tabaco.</w:t>
            </w:r>
          </w:p>
        </w:tc>
        <w:tc>
          <w:tcPr>
            <w:tcW w:w="52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Normal"/>
              <w:widowControl w:val="false"/>
              <w:rPr>
                <w:sz w:val="1"/>
                <w:szCs w:val="1"/>
                <w:highlight w:val="none"/>
                <w:shd w:fill="AFD095" w:val="clear"/>
                <w:lang w:val="es-AR" w:eastAsia="es-AR" w:bidi="ar-SA"/>
              </w:rPr>
            </w:pPr>
            <w:r>
              <w:rPr>
                <w:sz w:val="1"/>
                <w:szCs w:val="1"/>
                <w:shd w:fill="AFD095" w:val="clear"/>
                <w:lang w:val="es-AR" w:eastAsia="es-AR" w:bidi="ar-SA"/>
              </w:rPr>
            </w:r>
          </w:p>
        </w:tc>
      </w:tr>
    </w:tbl>
    <w:p>
      <w:pPr>
        <w:pStyle w:val="Normal"/>
        <w:spacing w:lineRule="exact" w:line="2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6066790</wp:posOffset>
            </wp:positionH>
            <wp:positionV relativeFrom="paragraph">
              <wp:posOffset>-1335405</wp:posOffset>
            </wp:positionV>
            <wp:extent cx="502920" cy="50292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261"/>
        <w:rPr>
          <w:rFonts w:eastAsiaTheme="minorEastAsia"/>
          <w:b/>
          <w:b/>
          <w:bCs/>
          <w:sz w:val="20"/>
          <w:szCs w:val="20"/>
          <w:highlight w:val="none"/>
          <w:u w:val="single"/>
          <w:shd w:fill="AFD095" w:val="clear"/>
          <w:lang w:val="es-AR" w:eastAsia="es-AR" w:bidi="ar-SA"/>
        </w:rPr>
      </w:pPr>
      <w:r>
        <w:rPr>
          <w:rFonts w:eastAsiaTheme="minorEastAsia"/>
          <w:b/>
          <w:bCs/>
          <w:sz w:val="20"/>
          <w:szCs w:val="20"/>
          <w:u w:val="single"/>
          <w:shd w:fill="AFD095" w:val="clear"/>
          <w:lang w:val="es-AR" w:eastAsia="es-AR" w:bidi="ar-SA"/>
        </w:rPr>
        <w:t>NOTA MARGINAL 2:</w:t>
      </w:r>
    </w:p>
    <w:p>
      <w:pPr>
        <w:pStyle w:val="Normal"/>
        <w:spacing w:lineRule="exact" w:line="261"/>
        <w:rPr>
          <w:rFonts w:eastAsiaTheme="minorEastAsia"/>
          <w:sz w:val="20"/>
          <w:szCs w:val="20"/>
          <w:highlight w:val="none"/>
          <w:shd w:fill="AFD095" w:val="clear"/>
          <w:lang w:val="es-AR" w:eastAsia="es-AR" w:bidi="ar-SA"/>
        </w:rPr>
      </w:pPr>
      <w:r>
        <w:rPr>
          <w:rFonts w:eastAsiaTheme="minorEastAsia"/>
          <w:b w:val="false"/>
          <w:bCs w:val="false"/>
          <w:sz w:val="20"/>
          <w:szCs w:val="20"/>
          <w:u w:val="none"/>
          <w:shd w:fill="AFD095" w:val="clear"/>
          <w:lang w:val="es-AR" w:eastAsia="es-AR" w:bidi="ar-SA"/>
        </w:rPr>
        <w:t>Ademas se obliga a colocar advertencias y mensajes grandes</w:t>
      </w:r>
      <w:r>
        <w:rPr>
          <w:rFonts w:eastAsiaTheme="minorEastAsia"/>
          <w:sz w:val="20"/>
          <w:szCs w:val="20"/>
          <w:shd w:fill="AFD095" w:val="clear"/>
          <w:lang w:val="es-AR" w:eastAsia="es-AR" w:bidi="ar-SA"/>
        </w:rPr>
        <w:t>, claros y visibles que ocupen al menos un 30% de la superficie  del envase externo del producto</w:t>
      </w:r>
    </w:p>
    <w:p>
      <w:pPr>
        <w:pStyle w:val="Normal"/>
        <w:spacing w:lineRule="exact" w:line="261"/>
        <w:rPr>
          <w:rFonts w:eastAsiaTheme="minorEastAsia"/>
          <w:sz w:val="20"/>
          <w:szCs w:val="20"/>
          <w:highlight w:val="none"/>
          <w:shd w:fill="AFD095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AFD095" w:val="clear"/>
          <w:lang w:val="es-AR" w:eastAsia="es-AR" w:bidi="ar-SA"/>
        </w:rPr>
        <w:t>El humo del tabaco es una amenaza sobretodo para los niños (porque aumenta los problemas respiratorios, enfermedades al oído medio o muerte súbita en recién nacidos). Por esto el tratado obliga a los estados a tomar medidas eficaces para evitar la exposición al humo en lugares de trabajo, en interiores y en transporte publico.</w:t>
      </w:r>
    </w:p>
    <w:p>
      <w:pPr>
        <w:pStyle w:val="Normal"/>
        <w:spacing w:lineRule="exact" w:line="261"/>
        <w:rPr>
          <w:rFonts w:eastAsiaTheme="minorEastAsia"/>
          <w:sz w:val="20"/>
          <w:szCs w:val="20"/>
          <w:highlight w:val="none"/>
          <w:shd w:fill="AFD095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AFD095" w:val="clear"/>
          <w:lang w:val="es-AR" w:eastAsia="es-AR" w:bidi="ar-SA"/>
        </w:rPr>
        <w:t>Parte del tratado, también obliga a tomar medidas contra el comercio ilícito del tabaco.</w:t>
      </w:r>
    </w:p>
    <w:p>
      <w:pPr>
        <w:pStyle w:val="Normal"/>
        <w:spacing w:lineRule="exact" w:line="26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26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ind w:left="260" w:hanging="0"/>
        <w:rPr>
          <w:rFonts w:eastAsiaTheme="minorEastAsia"/>
          <w:highlight w:val="none"/>
          <w:shd w:fill="E0C2CD" w:val="clear"/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shd w:fill="E0C2CD" w:val="clear"/>
          <w:lang w:val="es-AR" w:eastAsia="es-AR" w:bidi="ar-SA"/>
        </w:rPr>
        <w:t>El reto de la aplicación</w:t>
      </w:r>
    </w:p>
    <w:p>
      <w:pPr>
        <w:pStyle w:val="Normal"/>
        <w:spacing w:lineRule="exact" w:line="326"/>
        <w:rPr>
          <w:rFonts w:eastAsiaTheme="minorEastAsia"/>
          <w:sz w:val="20"/>
          <w:szCs w:val="20"/>
          <w:highlight w:val="none"/>
          <w:shd w:fill="E0C2CD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E0C2CD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E0C2CD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Para que el tratado entre en vigor, lo deben firmar y ratificar 40 países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. El tratado quedó abierto a la firma de los países el 16 de junio de 2003 en la sede de la OMS Ginebra. Desde el 30 de junio 2003-29 de junio de 2004, está abierto a la firma en la sede de las Naciones Unidas, en Nueva York. La firma del tratado representa una expresión de apoyo político y buena fe antes de la ratificación.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Hasta la fecha, 46 países y la Comisión Europea han firmado el tratado y un país, Noruega, lo ha ratificado.</w:t>
      </w:r>
    </w:p>
    <w:p>
      <w:pPr>
        <w:pStyle w:val="Normal"/>
        <w:spacing w:lineRule="exact" w:line="330"/>
        <w:rPr>
          <w:rFonts w:eastAsiaTheme="minorEastAsia"/>
          <w:sz w:val="20"/>
          <w:szCs w:val="20"/>
          <w:highlight w:val="none"/>
          <w:shd w:fill="E0C2CD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eastAsiaTheme="minorEastAsia"/>
          <w:highlight w:val="none"/>
          <w:shd w:fill="E0C2CD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El desafío radicará en aplicar el tratado y llevarlo a la práctica</w:t>
      </w:r>
      <w:r>
        <w:rPr>
          <w:rFonts w:eastAsia="Calibri" w:cs="Calibri" w:ascii="Calibri" w:hAnsi="Calibri"/>
          <w:sz w:val="20"/>
          <w:szCs w:val="20"/>
          <w:u w:val="none"/>
          <w:shd w:fill="E0C2CD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sobre el terreno. Esto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requerirá el establecimiento de los fundamentos técnicos necesarios y la incorporación</w:t>
      </w:r>
      <w:r>
        <w:rPr>
          <w:rFonts w:eastAsia="Calibri" w:cs="Calibri" w:ascii="Calibri" w:hAnsi="Calibri"/>
          <w:sz w:val="20"/>
          <w:szCs w:val="20"/>
          <w:u w:val="none"/>
          <w:shd w:fill="E0C2CD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de las disposiciones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del tratado en las leyes nacionales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. La OMS está facilitando directrices y material para ayudar a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los países a este respecto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. Sin embargo, éstos ya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lo están utilizando para fortalecer el control del tabaco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Por ejemplo, el Reino Unido de Gran Bretaña e Irlanda del Norte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 está re-evaluando sus políticas sobre la exposición al humo de segunda mano en los lugares públicos; la República Popular Democrática de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Corea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 ha anunciado que duplicará el precio de los cigarrillos para reducir el consumo; la República Unida de </w:t>
      </w:r>
      <w:r>
        <w:rPr>
          <w:rFonts w:eastAsia="Calibri" w:cs="Calibri" w:ascii="Calibri" w:hAnsi="Calibri"/>
          <w:sz w:val="20"/>
          <w:szCs w:val="20"/>
          <w:u w:val="single"/>
          <w:shd w:fill="E0C2CD" w:val="clear"/>
          <w:lang w:val="es-AR" w:eastAsia="es-AR" w:bidi="ar-SA"/>
        </w:rPr>
        <w:t>Tanzania</w:t>
      </w:r>
      <w:r>
        <w:rPr>
          <w:rFonts w:eastAsia="Calibri" w:cs="Calibri" w:ascii="Calibri" w:hAnsi="Calibri"/>
          <w:sz w:val="20"/>
          <w:szCs w:val="20"/>
          <w:shd w:fill="E0C2CD" w:val="clear"/>
          <w:lang w:val="es-AR" w:eastAsia="es-AR" w:bidi="ar-SA"/>
        </w:rPr>
        <w:t xml:space="preserve"> ha prohibido fumar en los lugares públicos; y Tailandia se está ocupando de cuestiones transfronterizas y en el contrabando del tabaco.</w:t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eastAsiaTheme="minorEastAsia"/>
          <w:b/>
          <w:b/>
          <w:bCs/>
          <w:highlight w:val="none"/>
          <w:u w:val="single"/>
          <w:shd w:fill="E0C2CD" w:val="clear"/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u w:val="single"/>
          <w:shd w:fill="E0C2CD" w:val="clear"/>
          <w:lang w:val="es-AR" w:eastAsia="es-AR" w:bidi="ar-SA"/>
        </w:rPr>
        <w:t>NOTA MARGINAL 3:</w:t>
      </w:r>
    </w:p>
    <w:p>
      <w:pPr>
        <w:pStyle w:val="Normal"/>
        <w:spacing w:lineRule="auto" w:line="230"/>
        <w:ind w:left="260" w:right="920" w:hanging="0"/>
        <w:jc w:val="both"/>
        <w:rPr>
          <w:rFonts w:eastAsiaTheme="minorEastAsia"/>
          <w:b w:val="false"/>
          <w:b w:val="false"/>
          <w:bCs w:val="false"/>
          <w:highlight w:val="none"/>
          <w:u w:val="none"/>
          <w:shd w:fill="E0C2CD" w:val="clear"/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E0C2CD" w:val="clear"/>
          <w:lang w:val="es-AR" w:eastAsia="es-AR" w:bidi="ar-SA"/>
        </w:rPr>
        <w:t xml:space="preserve">Para que el tratado sea tomado tiene que ser firmado por 40 países, este quedo abierto a la firma el 16 de junio del 2003, a el día de hoy el tratado fue firmado por 46 países.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E0C2CD" w:val="clear"/>
          <w:lang w:val="en-US" w:eastAsia="es-AR" w:bidi="ar-SA"/>
        </w:rPr>
        <w:t>L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E0C2CD" w:val="clear"/>
          <w:lang w:val="es-AR" w:eastAsia="es-AR" w:bidi="ar-SA"/>
        </w:rPr>
        <w:t xml:space="preserve">os países a este respecto  lo están utilizando para fortalecer el control del tabaco,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E0C2CD" w:val="clear"/>
          <w:lang w:val="en-US" w:eastAsia="es-AR" w:bidi="ar-SA"/>
        </w:rPr>
        <w:t>p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E0C2CD" w:val="clear"/>
          <w:lang w:val="es-AR" w:eastAsia="es-AR" w:bidi="ar-SA"/>
        </w:rPr>
        <w:t>or ejemplo, el Reino Unido de Gran Bretaña e Irlanda del Norte</w:t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b w:val="false"/>
          <w:bCs w:val="false"/>
          <w:u w:val="none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E0C2CD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DEE6EF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shd w:fill="DEE6EF" w:val="clear"/>
          <w:lang w:val="es-AR" w:eastAsia="es-AR" w:bidi="ar-SA"/>
        </w:rPr>
      </w:r>
    </w:p>
    <w:p>
      <w:pPr>
        <w:pStyle w:val="Normal"/>
        <w:spacing w:lineRule="exact" w:line="29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ind w:left="260" w:hanging="0"/>
        <w:rPr>
          <w:rFonts w:eastAsiaTheme="minorEastAsia"/>
          <w:highlight w:val="none"/>
          <w:shd w:fill="FFE994" w:val="clear"/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shd w:fill="FFE994" w:val="clear"/>
          <w:lang w:val="es-AR" w:eastAsia="es-AR" w:bidi="ar-SA"/>
        </w:rPr>
        <w:t>La historia del Convenio Marco de la OMS para el Control del Tabaco</w:t>
      </w:r>
    </w:p>
    <w:p>
      <w:pPr>
        <w:pStyle w:val="Normal"/>
        <w:spacing w:lineRule="exact" w:line="326"/>
        <w:rPr>
          <w:rFonts w:eastAsiaTheme="minorEastAsia"/>
          <w:sz w:val="20"/>
          <w:szCs w:val="20"/>
          <w:highlight w:val="none"/>
          <w:shd w:fill="FFE994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FFE994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E994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La idea de un instrumento internacional para el control del tabaco surgió en mayo de 1995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 en la 48a Asamblea Mundial de la Salud.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Al año siguiente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, la 49a Asamblea Mundial de la Salud adoptó la resolución WHA49.17, en la que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pide al Director General que elabore un convenio marco de la OMS para el control del tabaco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.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Así nació oficialmente la primera actividad legislativa de la OMS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. Un año después,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en 1999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, cuando la Dra. Gro Harlem Brundtland, en ese momento Directora General de la OMS,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priorizó el control mundial del tabaco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>, comenzó la labor relacionada con el Convenio Marco de la OMS para el Control del Tabaco.</w:t>
      </w:r>
    </w:p>
    <w:p>
      <w:pPr>
        <w:pStyle w:val="Normal"/>
        <w:spacing w:lineRule="exact" w:line="329"/>
        <w:rPr>
          <w:rFonts w:eastAsiaTheme="minorEastAsia"/>
          <w:sz w:val="20"/>
          <w:szCs w:val="20"/>
          <w:highlight w:val="none"/>
          <w:shd w:fill="FFE994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FFE994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shd w:fill="FFE994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Casi 20 resoluciones de la Asamblea Mundial de la Salud han abordado el control del tabaco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. Numerosas campañas de control del tabaco de la OMS y otros han surtido efecto. Sin embargo, la diferencia con el Convenio del Marco de la OMS para el Control del Tabaco, es que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para los países que ratifican el tratado, las obligaciones serán jurídicamente vinculantes</w:t>
      </w:r>
      <w:r>
        <w:rPr>
          <w:rFonts w:eastAsia="Calibri" w:cs="Calibri" w:ascii="Calibri" w:hAnsi="Calibri"/>
          <w:sz w:val="20"/>
          <w:szCs w:val="20"/>
          <w:shd w:fill="FFE994" w:val="clear"/>
          <w:lang w:val="es-AR" w:eastAsia="es-AR" w:bidi="ar-SA"/>
        </w:rPr>
        <w:t xml:space="preserve"> una vez que entre en vigor el tratado en su totalidad. </w:t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>A menos</w:t>
      </w: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5813425</wp:posOffset>
            </wp:positionH>
            <wp:positionV relativeFrom="page">
              <wp:posOffset>213995</wp:posOffset>
            </wp:positionV>
            <wp:extent cx="1371600" cy="73850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20"/>
          <w:szCs w:val="20"/>
          <w:u w:val="single"/>
          <w:shd w:fill="FFE994" w:val="clear"/>
          <w:lang w:val="es-AR" w:eastAsia="es-AR" w:bidi="ar-SA"/>
        </w:rPr>
        <w:t xml:space="preserve"> que los países apliquen eficazmente las disposiciones del nuevo tratado, las defunciones relacionadas con el tabaco podrían alcanzar más de nueve millones para 2020.</w:t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Theme="minorEastAsia"/>
          <w:shd w:fill="FFE994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b/>
          <w:b/>
          <w:bCs/>
          <w:highlight w:val="none"/>
          <w:u w:val="single"/>
          <w:shd w:fill="FFE994" w:val="clear"/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u w:val="single"/>
          <w:shd w:fill="FFE994" w:val="clear"/>
          <w:lang w:val="es-AR" w:eastAsia="es-AR" w:bidi="ar-SA"/>
        </w:rPr>
        <w:t>NOTA MARGINAL 4:</w:t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b w:val="false"/>
          <w:b w:val="false"/>
          <w:bCs w:val="false"/>
          <w:highlight w:val="none"/>
          <w:u w:val="none"/>
          <w:shd w:fill="FFE994" w:val="clear"/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s-AR" w:eastAsia="es-AR" w:bidi="ar-SA"/>
        </w:rPr>
        <w:t xml:space="preserve">El tratado surgió en mayo del 1995 y dio origen a un convenio marco para el control del tabaco. A partir de 1999, la OMS priorizo el  control mundial del tabaco y como consecuencia se realizaron casi 20 resoluciones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s-AR" w:eastAsia="es-AR" w:bidi="ar-SA"/>
        </w:rPr>
        <w:t>promovidas por la Asamblea Mundial de la Salud,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s-AR" w:eastAsia="es-AR" w:bidi="ar-SA"/>
        </w:rPr>
        <w:t xml:space="preserve"> abordando el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n-US" w:eastAsia="es-AR" w:bidi="ar-SA"/>
        </w:rPr>
        <w:t xml:space="preserve">tema.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n-US" w:eastAsia="es-AR" w:bidi="ar-SA"/>
        </w:rPr>
        <w:t>P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n-US" w:eastAsia="es-AR" w:bidi="ar-SA"/>
        </w:rPr>
        <w:t>ara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FFE994" w:val="clear"/>
          <w:lang w:val="es-AR" w:eastAsia="es-AR" w:bidi="ar-SA"/>
        </w:rPr>
        <w:t xml:space="preserve"> los países que ratifican el tratado, las obligaciones serán jurídicamente vinculantes.</w:t>
      </w:r>
    </w:p>
    <w:p>
      <w:pPr>
        <w:pStyle w:val="Normal"/>
        <w:spacing w:lineRule="exact" w:line="20"/>
        <w:rPr>
          <w:rFonts w:eastAsiaTheme="minorEastAsia"/>
          <w:sz w:val="20"/>
          <w:szCs w:val="20"/>
          <w:highlight w:val="none"/>
          <w:shd w:fill="FFE994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FFE994" w:val="clear"/>
          <w:lang w:val="es-AR" w:eastAsia="es-AR" w:bidi="ar-SA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376555</wp:posOffset>
                </wp:positionH>
                <wp:positionV relativeFrom="paragraph">
                  <wp:posOffset>181610</wp:posOffset>
                </wp:positionV>
                <wp:extent cx="4940935" cy="1132840"/>
                <wp:effectExtent l="0" t="0" r="0" b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000" cy="11329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f2f2f2" stroked="f" o:allowincell="f" style="position:absolute;margin-left:29.65pt;margin-top:14.3pt;width:389pt;height:89.15pt;mso-wrap-style:none;v-text-anchor:middle">
                <v:fill o:detectmouseclick="t" type="solid" color2="#0d0d0d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exact" w:line="258"/>
        <w:rPr>
          <w:rFonts w:eastAsiaTheme="minorEastAsia"/>
          <w:sz w:val="20"/>
          <w:szCs w:val="20"/>
          <w:highlight w:val="none"/>
          <w:shd w:fill="FFE994" w:val="clear"/>
          <w:lang w:val="es-AR" w:eastAsia="es-AR" w:bidi="ar-SA"/>
        </w:rPr>
      </w:pPr>
      <w:r>
        <w:rPr>
          <w:rFonts w:eastAsiaTheme="minorEastAsia"/>
          <w:sz w:val="20"/>
          <w:szCs w:val="20"/>
          <w:shd w:fill="FFE994" w:val="clear"/>
          <w:lang w:val="es-AR" w:eastAsia="es-AR" w:bidi="ar-SA"/>
        </w:rPr>
      </w:r>
    </w:p>
    <w:p>
      <w:pPr>
        <w:pStyle w:val="Normal"/>
        <w:ind w:left="3420" w:hanging="0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b/>
          <w:bCs/>
          <w:u w:val="single"/>
          <w:lang w:val="es-AR" w:eastAsia="es-AR" w:bidi="ar-SA"/>
        </w:rPr>
        <w:t>Hechos sobre el tabaco</w:t>
      </w:r>
    </w:p>
    <w:p>
      <w:pPr>
        <w:pStyle w:val="Normal"/>
        <w:spacing w:lineRule="exact" w:line="295"/>
        <w:rPr>
          <w:sz w:val="20"/>
          <w:szCs w:val="20"/>
          <w:u w:val="single"/>
          <w:lang w:val="es-AR" w:eastAsia="es-AR" w:bidi="ar-SA"/>
        </w:rPr>
      </w:pPr>
      <w:r>
        <w:rPr>
          <w:sz w:val="20"/>
          <w:szCs w:val="20"/>
          <w:u w:val="single"/>
          <w:lang w:val="es-AR" w:eastAsia="es-AR" w:bidi="ar-S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ind w:left="980" w:hanging="358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lang w:val="es-AR" w:eastAsia="es-AR" w:bidi="ar-SA"/>
        </w:rPr>
        <w:t>El tabaco causa alrededor de 13 500 defunciones por día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ind w:left="980" w:hanging="358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lang w:val="es-AR" w:eastAsia="es-AR" w:bidi="ar-SA"/>
        </w:rPr>
        <w:t>La mitad de los niños están expuestos al humo del tabaco en la propia vivienda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235"/>
        <w:ind w:left="980" w:hanging="358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lang w:val="es-AR" w:eastAsia="es-AR" w:bidi="ar-SA"/>
        </w:rPr>
        <w:t>El 47,5% de los hombres fuman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ind w:left="980" w:hanging="358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lang w:val="es-AR" w:eastAsia="es-AR" w:bidi="ar-SA"/>
        </w:rPr>
        <w:t>El 10,3% de las mujeres fuman</w:t>
      </w:r>
    </w:p>
    <w:p>
      <w:pPr>
        <w:pStyle w:val="Normal"/>
        <w:spacing w:lineRule="exact" w:line="20"/>
        <w:rPr>
          <w:sz w:val="20"/>
          <w:szCs w:val="20"/>
          <w:u w:val="single"/>
          <w:lang w:val="es-AR" w:eastAsia="es-AR" w:bidi="ar-SA"/>
        </w:rPr>
      </w:pPr>
      <w:r>
        <w:rPr>
          <w:sz w:val="20"/>
          <w:szCs w:val="20"/>
          <w:u w:val="single"/>
          <w:lang w:val="es-AR" w:eastAsia="es-AR" w:bidi="ar-SA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6066790</wp:posOffset>
            </wp:positionH>
            <wp:positionV relativeFrom="paragraph">
              <wp:posOffset>-118745</wp:posOffset>
            </wp:positionV>
            <wp:extent cx="502920" cy="50292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400" w:type="dxa"/>
        <w:jc w:val="left"/>
        <w:tblInd w:w="6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539"/>
        <w:gridCol w:w="2860"/>
      </w:tblGrid>
      <w:tr>
        <w:trPr>
          <w:trHeight w:val="253" w:hRule="atLeast"/>
        </w:trPr>
        <w:tc>
          <w:tcPr>
            <w:tcW w:w="6539" w:type="dxa"/>
            <w:tcBorders/>
            <w:vAlign w:val="bottom"/>
          </w:tcPr>
          <w:p>
            <w:pPr>
              <w:pStyle w:val="Normal"/>
              <w:widowControl w:val="false"/>
              <w:rPr>
                <w:u w:val="single"/>
                <w:lang w:val="es-AR" w:eastAsia="es-AR" w:bidi="ar-SA"/>
              </w:rPr>
            </w:pPr>
            <w:r>
              <w:rPr>
                <w:rFonts w:eastAsia="Calibri" w:cs="Calibri" w:ascii="Calibri" w:hAnsi="Calibri"/>
                <w:sz w:val="20"/>
                <w:szCs w:val="20"/>
                <w:u w:val="none"/>
                <w:lang w:val="es-AR" w:eastAsia="es-AR" w:bidi="ar-SA"/>
              </w:rPr>
              <w:t xml:space="preserve">•      </w:t>
            </w:r>
            <w:r>
              <w:rPr>
                <w:rFonts w:eastAsia="Calibri" w:cs="Calibri" w:ascii="Calibri" w:hAnsi="Calibri"/>
                <w:sz w:val="20"/>
                <w:szCs w:val="20"/>
                <w:u w:val="single"/>
                <w:lang w:val="es-AR" w:eastAsia="es-AR" w:bidi="ar-SA"/>
              </w:rPr>
              <w:t>El tabaco causa graves problemas de salud</w:t>
            </w:r>
          </w:p>
        </w:tc>
        <w:tc>
          <w:tcPr>
            <w:tcW w:w="286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53"/>
              <w:jc w:val="right"/>
              <w:rPr>
                <w:u w:val="single"/>
                <w:lang w:val="es-AR" w:eastAsia="es-AR" w:bidi="ar-SA"/>
              </w:rPr>
            </w:pPr>
            <w:r>
              <w:rPr>
                <w:rFonts w:eastAsia="Times New Roman"/>
                <w:b/>
                <w:bCs/>
                <w:color w:val="FFFFFF"/>
                <w:sz w:val="24"/>
                <w:szCs w:val="24"/>
                <w:u w:val="single"/>
                <w:lang w:val="es-AR" w:eastAsia="es-AR" w:bidi="ar-SA"/>
              </w:rPr>
              <w:t>3</w:t>
            </w:r>
          </w:p>
        </w:tc>
      </w:tr>
    </w:tbl>
    <w:p>
      <w:pPr>
        <w:pStyle w:val="Normal"/>
        <w:spacing w:lineRule="exact" w:line="20"/>
        <w:rPr>
          <w:sz w:val="20"/>
          <w:szCs w:val="20"/>
          <w:u w:val="single"/>
          <w:lang w:val="es-AR" w:eastAsia="es-AR" w:bidi="ar-SA"/>
        </w:rPr>
      </w:pPr>
      <w:r>
        <w:rPr>
          <w:sz w:val="20"/>
          <w:szCs w:val="20"/>
          <w:u w:val="single"/>
          <w:lang w:val="es-AR" w:eastAsia="es-AR" w:bidi="ar-SA"/>
        </w:rP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368935</wp:posOffset>
                </wp:positionH>
                <wp:positionV relativeFrom="paragraph">
                  <wp:posOffset>-635</wp:posOffset>
                </wp:positionV>
                <wp:extent cx="4948555" cy="316865"/>
                <wp:effectExtent l="0" t="0" r="0" b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3168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f2f2f2" stroked="f" o:allowincell="f" style="position:absolute;margin-left:29.05pt;margin-top:-0.05pt;width:389.6pt;height:24.9pt;mso-wrap-style:none;v-text-anchor:middle">
                <v:fill o:detectmouseclick="t" type="solid" color2="#0d0d0d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16"/>
        <w:ind w:left="980" w:right="1920" w:hanging="0"/>
        <w:rPr>
          <w:u w:val="single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single"/>
          <w:lang w:val="es-AR" w:eastAsia="es-AR" w:bidi="ar-SA"/>
        </w:rPr>
        <w:t>El cigarrillo es el único producto de consumo legalmente disponible que mata a quien lo consume normalmente</w:t>
      </w:r>
    </w:p>
    <w:p>
      <w:pPr>
        <w:pStyle w:val="Normal"/>
        <w:spacing w:lineRule="exact" w:line="2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376555</wp:posOffset>
                </wp:positionH>
                <wp:positionV relativeFrom="paragraph">
                  <wp:posOffset>36830</wp:posOffset>
                </wp:positionV>
                <wp:extent cx="4940935" cy="160655"/>
                <wp:effectExtent l="0" t="0" r="0" b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000" cy="1605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f2f2f2" stroked="f" o:allowincell="f" style="position:absolute;margin-left:29.65pt;margin-top:2.9pt;width:389pt;height:12.6pt;mso-wrap-style:none;v-text-anchor:middle">
                <v:fill o:detectmouseclick="t" type="solid" color2="#0d0d0d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20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39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ind w:left="260" w:hanging="0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Consignas</w:t>
      </w:r>
    </w:p>
    <w:p>
      <w:pPr>
        <w:pStyle w:val="Normal"/>
        <w:spacing w:lineRule="exact" w:line="289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ind w:left="9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Subraye las ideas principales y realice notas marginales. .(1,5 puntos)</w:t>
      </w:r>
    </w:p>
    <w:p>
      <w:pPr>
        <w:pStyle w:val="Normal"/>
        <w:spacing w:lineRule="exact" w:line="123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ind w:left="9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Elabore una síntesis.(1,5 puntos)</w:t>
      </w:r>
    </w:p>
    <w:p>
      <w:pPr>
        <w:pStyle w:val="Normal"/>
        <w:spacing w:lineRule="exact" w:line="120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ind w:left="9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Resuelva el siguiente cuestionario: (3 puntos)</w:t>
      </w:r>
    </w:p>
    <w:p>
      <w:pPr>
        <w:pStyle w:val="Normal"/>
        <w:spacing w:lineRule="exact" w:line="123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1680" w:leader="none"/>
        </w:tabs>
        <w:ind w:left="1680" w:hanging="33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Enumere los perjuicios que el consumo de tabaco ocasiona a una sociedad</w:t>
      </w:r>
    </w:p>
    <w:p>
      <w:pPr>
        <w:pStyle w:val="Normal"/>
        <w:spacing w:lineRule="exact" w:line="120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1680" w:leader="none"/>
        </w:tabs>
        <w:ind w:left="1680" w:hanging="33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¿Cuáles son las consideraciones del presente tratado respecto a la Publicidad del tabaco?</w:t>
      </w:r>
    </w:p>
    <w:p>
      <w:pPr>
        <w:pStyle w:val="Normal"/>
        <w:spacing w:lineRule="exact" w:line="123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1680" w:leader="none"/>
        </w:tabs>
        <w:ind w:left="1680" w:hanging="33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Explicite su opinión respecto al tema y fundaméntela</w:t>
      </w:r>
    </w:p>
    <w:p>
      <w:pPr>
        <w:pStyle w:val="Normal"/>
        <w:spacing w:lineRule="exact" w:line="200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spacing w:lineRule="exact" w:line="222"/>
        <w:rPr>
          <w:rFonts w:ascii="Calibri" w:hAnsi="Calibri" w:eastAsia="Calibri" w:cs="Calibri"/>
          <w:sz w:val="20"/>
          <w:szCs w:val="20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68" w:leader="none"/>
        </w:tabs>
        <w:spacing w:lineRule="auto" w:line="336"/>
        <w:ind w:left="980" w:right="156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a. Elabore una representación gráfica (cuadro sinóptico, mapa conceptual, etc.) (2 puntos) b. Indique la denominación de la representación gráfica elegida y explique las características fundamentales de la misma. (1 punto)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68" w:leader="none"/>
        </w:tabs>
        <w:spacing w:lineRule="auto" w:line="312"/>
        <w:ind w:left="980" w:right="1580" w:hanging="358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¿Cuáles son los aspectos más relevantes que usted ha identificado en el Sistema Pedagógico VanEduc? (1 punto)</w:t>
      </w:r>
    </w:p>
    <w:p>
      <w:pPr>
        <w:pStyle w:val="Normal"/>
        <w:spacing w:lineRule="exact" w:line="289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ind w:left="260" w:hanging="0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sz w:val="20"/>
          <w:szCs w:val="20"/>
          <w:lang w:val="es-AR" w:eastAsia="es-AR" w:bidi="ar-SA"/>
        </w:rPr>
        <w:t>Criterios de evaluación</w:t>
      </w:r>
    </w:p>
    <w:p>
      <w:pPr>
        <w:pStyle w:val="Normal"/>
        <w:spacing w:lineRule="exact" w:line="20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215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auto" w:line="312"/>
        <w:ind w:left="260" w:right="940" w:hanging="0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Esta evaluación se aprueba con 6 seis puntos según lo establece el Reglamento Interno de la Universidad Abierta Interamericana equivalente al 60% de aprobación de todos los contenidos evaluados.</w:t>
      </w:r>
    </w:p>
    <w:p>
      <w:pPr>
        <w:pStyle w:val="Normal"/>
        <w:spacing w:lineRule="exact" w:line="200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exact" w:line="261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spacing w:lineRule="auto" w:line="312"/>
        <w:ind w:left="260" w:right="920" w:hanging="0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>Alcanzará esta calificación demostrando comprensión del texto, uso adecuado de las técnicas de procesamiento de textos y conocimiento de la propuesta pedagógica de la UAI.</w:t>
      </w:r>
    </w:p>
    <w:p>
      <w:pPr>
        <w:pStyle w:val="Normal"/>
        <w:spacing w:lineRule="exact" w:line="289"/>
        <w:rPr>
          <w:sz w:val="20"/>
          <w:szCs w:val="20"/>
          <w:lang w:val="es-AR" w:eastAsia="es-AR" w:bidi="ar-SA"/>
        </w:rPr>
      </w:pPr>
      <w:r>
        <w:rPr>
          <w:sz w:val="20"/>
          <w:szCs w:val="20"/>
          <w:lang w:val="es-AR" w:eastAsia="es-AR" w:bidi="ar-SA"/>
        </w:rPr>
      </w:r>
    </w:p>
    <w:p>
      <w:pPr>
        <w:pStyle w:val="Normal"/>
        <w:ind w:right="920" w:hanging="0"/>
        <w:jc w:val="right"/>
        <w:rPr>
          <w:lang w:val="es-AR" w:eastAsia="es-AR" w:bidi="ar-SA"/>
        </w:rPr>
      </w:pPr>
      <w:r>
        <w:rPr>
          <w:rFonts w:eastAsia="Calibri" w:cs="Calibri" w:ascii="Calibri" w:hAnsi="Calibri"/>
          <w:b/>
          <w:bCs/>
          <w:i/>
          <w:iCs/>
          <w:sz w:val="20"/>
          <w:szCs w:val="20"/>
          <w:lang w:val="es-AR" w:eastAsia="es-AR" w:bidi="ar-SA"/>
        </w:rPr>
        <w:t>Buena suerte!</w:t>
      </w:r>
    </w:p>
    <w:p>
      <w:pPr>
        <w:pStyle w:val="Normal"/>
        <w:ind w:right="920" w:hanging="0"/>
        <w:jc w:val="right"/>
        <w:rPr>
          <w:rFonts w:ascii="Calibri" w:hAnsi="Calibri" w:eastAsia="Calibri" w:cs="Calibri"/>
          <w:b/>
          <w:b/>
          <w:bCs/>
          <w:i/>
          <w:i/>
          <w:iCs/>
          <w:color w:val="7F7F7F"/>
          <w:sz w:val="20"/>
          <w:szCs w:val="20"/>
          <w:lang w:val="en-US"/>
        </w:rPr>
      </w:pPr>
      <w:r>
        <w:rPr>
          <w:shd w:fill="auto" w:val="clear"/>
          <w:lang w:val="es-AR" w:eastAsia="es-AR" w:bidi="ar-SA"/>
        </w:rPr>
      </w:r>
    </w:p>
    <w:p>
      <w:pPr>
        <w:pStyle w:val="Normal"/>
        <w:spacing w:lineRule="auto" w:line="312"/>
        <w:ind w:left="260" w:right="920" w:hanging="0"/>
        <w:jc w:val="left"/>
        <w:rPr>
          <w:highlight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shd w:fill="auto" w:val="clear"/>
          <w:lang w:val="es-AR" w:eastAsia="es-AR" w:bidi="ar-SA"/>
        </w:rPr>
        <w:t>2.</w:t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El consumo de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tabaco es la mayor causa evitable de mortalidad en el mundo. </w:t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El 21 de mayo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del 2003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, la asamblea mundial de la salud y la OMS adoptaron el primer tratado mundial de salud publica para el control de tabaco,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e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l cual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exige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impone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r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restricciones a la publicidad del tabaco,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obliga a los países 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controlar el etiquetado, la publicidad, la promoción y/o el patrocinio de las empresas tabaqueras,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en la medida que lo permitan sus constituciones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.</w:t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Ademas obliga a colocar advertencias y mensajes grandes, claros y visibles que ocupen al menos un 30% de la superficie  del envase externo del producto.</w:t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El humo del tabaco es una amenaza sobretodo para los niños (porque aumenta los problemas respiratorios, enfermedades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de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l oído medio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y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muerte súbita en recién nacidos). Por esto el tratado obliga a los estados a tomar medidas eficaces para evitar la exposición al humo en lugares de trabajo, en interiores y en transporte publico,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asimismo, p</w:t>
      </w:r>
      <w:r>
        <w:rPr>
          <w:rFonts w:eastAsia="Calibri" w:cs="Calibri" w:ascii="Calibri" w:hAnsi="Calibri"/>
          <w:sz w:val="20"/>
          <w:szCs w:val="20"/>
          <w:shd w:fill="auto" w:val="clear"/>
          <w:lang w:val="es-AR" w:eastAsia="es-AR" w:bidi="ar-SA"/>
        </w:rPr>
        <w:t>arte del tratado, también obliga a tomar medidas contra el comercio ilícito del tabaco.</w:t>
      </w:r>
    </w:p>
    <w:p>
      <w:pPr>
        <w:pStyle w:val="Normal"/>
        <w:spacing w:lineRule="exact" w:line="261"/>
        <w:ind w:left="260" w:right="920" w:hanging="0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shd w:fill="auto" w:val="clear"/>
          <w:lang w:val="es-AR" w:eastAsia="es-AR" w:bidi="ar-SA"/>
        </w:rPr>
      </w:r>
    </w:p>
    <w:p>
      <w:pPr>
        <w:pStyle w:val="Normal"/>
        <w:spacing w:lineRule="auto" w:line="230"/>
        <w:ind w:left="260" w:right="920" w:hanging="0"/>
        <w:jc w:val="both"/>
        <w:rPr>
          <w:rFonts w:eastAsiaTheme="minorEastAsia"/>
          <w:b w:val="false"/>
          <w:b w:val="false"/>
          <w:bCs w:val="false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Se requiere la firma de al menos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 40 países,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para que dicho tratado entre en vigencia, a la fecha, al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 día de hoy el tratado fue firmado por 46 países.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L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os países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involucrados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, lo están utilizando para fortalecer el control del tabaco,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entre ellos: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el Reino Unido de Gran Bretaña e Irlanda del Norte.</w:t>
      </w:r>
    </w:p>
    <w:p>
      <w:pPr>
        <w:pStyle w:val="Normal"/>
        <w:spacing w:lineRule="auto" w:line="230"/>
        <w:ind w:left="260" w:right="920" w:hanging="0"/>
        <w:jc w:val="both"/>
        <w:rPr>
          <w:rFonts w:ascii="Calibri" w:hAnsi="Calibri" w:eastAsia="Calibri" w:cs="Calibri"/>
        </w:rPr>
      </w:pPr>
      <w:r>
        <w:rPr>
          <w:rFonts w:eastAsiaTheme="minorEastAsia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rFonts w:eastAsiaTheme="minorEastAsia"/>
          <w:b w:val="false"/>
          <w:b w:val="false"/>
          <w:bCs w:val="false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El tratado surgió en mayo del 1995 y dio origen a un convenio marco para el control del tabaco. A partir de 1999, la OMS priorizo el  control mundial del tabaco y como consecuencia se realizaron casi 20 resoluciones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promovidas por la Asamblea Mundial de la Salud,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 abordando el tema.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P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ara los países que ratifican el tratado, las obligaciones serán jurídicamente vinculantes.</w:t>
      </w:r>
    </w:p>
    <w:p>
      <w:pPr>
        <w:pStyle w:val="Normal"/>
        <w:spacing w:lineRule="auto" w:line="228"/>
        <w:ind w:left="260" w:right="920" w:hanging="0"/>
        <w:jc w:val="both"/>
        <w:rPr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Si los países no aplican eficientemente dicho tratado, las muertes por esta causa, se incrementaran para el 2020. </w:t>
      </w:r>
    </w:p>
    <w:p>
      <w:pPr>
        <w:pStyle w:val="Normal"/>
        <w:spacing w:lineRule="auto" w:line="228"/>
        <w:ind w:left="260" w:right="920" w:hanging="0"/>
        <w:jc w:val="both"/>
        <w:rPr>
          <w:rFonts w:ascii="Calibri" w:hAnsi="Calibri" w:eastAsia="Calibri" w:cs="Calibri"/>
          <w:b w:val="false"/>
          <w:b w:val="false"/>
          <w:bCs w:val="false"/>
          <w:sz w:val="20"/>
          <w:szCs w:val="20"/>
          <w:highlight w:val="none"/>
          <w:u w:val="none"/>
          <w:shd w:fill="auto" w:val="clear"/>
        </w:rPr>
      </w:pPr>
      <w:r>
        <w:rPr>
          <w:lang w:val="es-AR" w:eastAsia="es-AR" w:bidi="ar-SA"/>
        </w:rPr>
      </w:r>
    </w:p>
    <w:p>
      <w:pPr>
        <w:pStyle w:val="Normal"/>
        <w:spacing w:lineRule="auto" w:line="228"/>
        <w:ind w:left="260" w:right="920" w:hanging="0"/>
        <w:jc w:val="both"/>
        <w:rPr>
          <w:lang w:val="es-AR" w:eastAsia="es-AR" w:bidi="ar-SA"/>
        </w:rPr>
      </w:pP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3.</w:t>
      </w:r>
    </w:p>
    <w:p>
      <w:pPr>
        <w:pStyle w:val="Normal"/>
        <w:spacing w:lineRule="auto" w:line="312"/>
        <w:ind w:left="260" w:right="920" w:hanging="0"/>
        <w:jc w:val="left"/>
        <w:rPr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 xml:space="preserve">a. </w:t>
      </w:r>
    </w:p>
    <w:p>
      <w:pPr>
        <w:pStyle w:val="Normal"/>
        <w:widowControl w:val="false"/>
        <w:spacing w:lineRule="auto" w:line="312"/>
        <w:ind w:left="260" w:right="920" w:hanging="0"/>
        <w:jc w:val="left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Según lo descripto en el texto, entre l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os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problemas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que puede ocasionar a la sociedad, están: </w:t>
      </w:r>
    </w:p>
    <w:p>
      <w:pPr>
        <w:pStyle w:val="Normal"/>
        <w:widowControl w:val="false"/>
        <w:numPr>
          <w:ilvl w:val="0"/>
          <w:numId w:val="4"/>
        </w:numPr>
        <w:spacing w:lineRule="auto" w:line="312"/>
        <w:jc w:val="left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fecciones respiratorias, enfermedades del oído medio, ataques de asma y síndrome de muerte súbita del recién </w:t>
      </w:r>
      <w:r>
        <w:rPr>
          <w:rFonts w:eastAsia="Calibri" w:cs="Calibri" w:ascii="Calibri" w:hAnsi="Calibri"/>
          <w:i w:val="false"/>
          <w:iCs w:val="false"/>
          <w:sz w:val="20"/>
          <w:szCs w:val="20"/>
          <w:u w:val="none"/>
          <w:shd w:fill="auto" w:val="clear"/>
          <w:lang w:val="es-AR" w:eastAsia="es-AR" w:bidi="ar-SA"/>
        </w:rPr>
        <w:t>nacido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(SMSRN),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principalmente en niños expuestos al humo.</w:t>
      </w:r>
    </w:p>
    <w:p>
      <w:pPr>
        <w:pStyle w:val="Normal"/>
        <w:widowControl w:val="false"/>
        <w:numPr>
          <w:ilvl w:val="0"/>
          <w:numId w:val="4"/>
        </w:numPr>
        <w:spacing w:lineRule="auto" w:line="312"/>
        <w:jc w:val="left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Problemas de inseguridad de manera indirecta por comercio ilícito.</w:t>
      </w:r>
    </w:p>
    <w:p>
      <w:pPr>
        <w:pStyle w:val="Normal"/>
        <w:widowControl w:val="false"/>
        <w:numPr>
          <w:ilvl w:val="0"/>
          <w:numId w:val="4"/>
        </w:numPr>
        <w:spacing w:lineRule="auto" w:line="312"/>
        <w:jc w:val="left"/>
        <w:rPr>
          <w:rFonts w:eastAsiaTheme="minorEastAsia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Incremento en las muertes.</w:t>
      </w:r>
    </w:p>
    <w:p>
      <w:pPr>
        <w:pStyle w:val="Normal"/>
        <w:widowControl w:val="false"/>
        <w:spacing w:lineRule="auto" w:line="312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u w:val="none"/>
          <w:shd w:fill="auto" w:val="clear"/>
          <w:lang w:val="es-AR" w:eastAsia="es-AR" w:bidi="ar-SA"/>
        </w:rPr>
      </w:r>
    </w:p>
    <w:p>
      <w:pPr>
        <w:pStyle w:val="Normal"/>
        <w:widowControl w:val="false"/>
        <w:spacing w:lineRule="auto" w:line="312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u w:val="none"/>
          <w:shd w:fill="auto" w:val="clear"/>
          <w:lang w:val="es-AR" w:eastAsia="es-AR" w:bidi="ar-SA"/>
        </w:rPr>
      </w:r>
    </w:p>
    <w:p>
      <w:pPr>
        <w:pStyle w:val="Normal"/>
        <w:widowControl w:val="false"/>
        <w:spacing w:lineRule="auto" w:line="312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u w:val="none"/>
          <w:shd w:fill="auto" w:val="clear"/>
          <w:lang w:val="es-AR" w:eastAsia="es-AR" w:bidi="ar-SA"/>
        </w:rPr>
      </w:r>
    </w:p>
    <w:p>
      <w:pPr>
        <w:pStyle w:val="Normal"/>
        <w:widowControl w:val="false"/>
        <w:spacing w:lineRule="auto" w:line="312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Theme="minorEastAsia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auto" w:line="312"/>
        <w:ind w:left="260" w:right="920" w:hanging="0"/>
        <w:jc w:val="left"/>
        <w:rPr>
          <w:lang w:val="en-US" w:eastAsia="es-AR" w:bidi="ar-SA"/>
        </w:rPr>
      </w:pPr>
      <w:r>
        <w:rPr>
          <w:rFonts w:eastAsia="Calibri" w:cs="Calibri" w:ascii="Calibri" w:hAnsi="Calibri"/>
          <w:sz w:val="20"/>
          <w:szCs w:val="20"/>
          <w:lang w:val="es-AR" w:eastAsia="es-AR" w:bidi="ar-SA"/>
        </w:rPr>
        <w:t xml:space="preserve">b. 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El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tratado exige que los países impongan restricciones a la publicidad,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l patrocinio y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la promoción del tabaco.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También obliga a los Estados Partes 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prohibir la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publicidad, la promoción y el patrocinio del tabaco, en la medida en que lo permitan sus respectivas constituciones. Las Partes cuya constitución o principios constitucionales no permitan una prohibición integral deben aplicar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restricciones a la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publicidad, promoción y patrocinio.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 xml:space="preserve">Ademas se obliga a colocar advertencias y mensajes grandes, </w:t>
      </w:r>
      <w:r>
        <w:rPr>
          <w:rFonts w:eastAsia="Calibri" w:cs="Calibri" w:ascii="Calibri" w:hAnsi="Calibri"/>
          <w:b w:val="false"/>
          <w:bCs w:val="false"/>
          <w:sz w:val="20"/>
          <w:szCs w:val="20"/>
          <w:u w:val="none"/>
          <w:shd w:fill="auto" w:val="clear"/>
          <w:lang w:val="es-AR" w:eastAsia="es-AR" w:bidi="ar-SA"/>
        </w:rPr>
        <w:t>claros y visibles.</w:t>
      </w:r>
    </w:p>
    <w:p>
      <w:pPr>
        <w:pStyle w:val="Normal"/>
        <w:spacing w:lineRule="auto" w:line="312"/>
        <w:ind w:left="260" w:right="920" w:hanging="0"/>
        <w:jc w:val="left"/>
        <w:rPr>
          <w:rFonts w:ascii="Calibri" w:hAnsi="Calibri" w:eastAsia="Calibri" w:cs="Calibri"/>
          <w:sz w:val="20"/>
          <w:szCs w:val="20"/>
          <w:u w:val="none"/>
        </w:rPr>
      </w:pPr>
      <w:r>
        <w:rPr>
          <w:rFonts w:eastAsiaTheme="minorEastAsia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n-US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c. Mi opinión respecto a este tratado es que esta bien que se restrin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j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a la venta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y promoción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de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l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tabaco en el mundo, ya que es una de las peores adicciones que se pueden desarrollar, sumado a esto en el pasado era sumamente común que jóvenes comenzaran a fumar desde los 12 o 14 años, esto causaba desde terribles enfermedades hasta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la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muerte en una temprana edad, ya que no se conocían, o no eran públicos, los riesgos del tabaco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para el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cuerpo.</w:t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Siendo esta mi opinión, creo que también tendría que hacerse algo parecido con respecto a la venta de alcohol, ya que este se vende casi sin restricciones,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salvo demostra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r la mayoría de edad, esto es falso hasta cierto punto, porque hay locales que venden alcohol a menores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aun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que sea contra la ley.</w:t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Es fundamental que desde los organismos de Salud Publica Nacionales (Ministerio de Salud) e internacionales (OMS, OPS), se desarrollen este tipo de tratados, pues existen suficientes pruebas de que, el consumo de tabaco y alcohol desde edades tempranas (o como actores pasivos, en el caso del humo de los cigarrillos en hijos de padres fumadores)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causa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deterioros en el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desarrollo del cerebro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de niños y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se pierdan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conexiones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neurona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le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s en el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proceso.</w:t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Hoy en día esto es especialmente cierto en jóvenes que salen “de fiesta” o a la casa de sus amigos y toman sin medida, sin contar el riesgo que es, no estar ¨en sus cabales¨, siendo un peligro para ellos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y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 para otros,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ya que no miden sus acciones.</w:t>
      </w:r>
    </w:p>
    <w:p>
      <w:pPr>
        <w:pStyle w:val="Normal"/>
        <w:spacing w:lineRule="exact" w:line="261"/>
        <w:ind w:left="260" w:right="920" w:hanging="0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4.</w:t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a.</w:t>
      </w:r>
    </w:p>
    <w:p>
      <w:pPr>
        <w:pStyle w:val="Normal"/>
        <w:spacing w:lineRule="exact" w:line="261"/>
        <w:ind w:left="260" w:right="920" w:hanging="0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ind w:left="260" w:right="920" w:hanging="0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u w:val="none"/>
          <w:shd w:fill="auto" w:val="clear"/>
          <w:lang w:val="es-AR" w:eastAsia="es-AR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256095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61"/>
        <w:ind w:left="260" w:right="920" w:hanging="0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ind w:left="260" w:right="920" w:hanging="0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br/>
        <w:br/>
        <w:br/>
        <w:br/>
        <w:br/>
        <w:br/>
        <w:br/>
        <w:br/>
        <w:br/>
        <w:br/>
        <w:br/>
        <w:br/>
        <w:br/>
        <w:br/>
        <w:t xml:space="preserve">b. Elegí el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mapa conceptual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, las características de este son:</w:t>
      </w:r>
    </w:p>
    <w:p>
      <w:pPr>
        <w:pStyle w:val="Normal"/>
        <w:numPr>
          <w:ilvl w:val="0"/>
          <w:numId w:val="5"/>
        </w:numPr>
        <w:spacing w:lineRule="exact" w:line="261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Es una representación grafica y fácilmente reconocible.</w:t>
      </w:r>
    </w:p>
    <w:p>
      <w:pPr>
        <w:pStyle w:val="Normal"/>
        <w:numPr>
          <w:ilvl w:val="0"/>
          <w:numId w:val="5"/>
        </w:numPr>
        <w:spacing w:lineRule="exact" w:line="261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Tiene una estructura bien organizada.</w:t>
      </w:r>
    </w:p>
    <w:p>
      <w:pPr>
        <w:pStyle w:val="Normal"/>
        <w:numPr>
          <w:ilvl w:val="0"/>
          <w:numId w:val="5"/>
        </w:numPr>
        <w:spacing w:lineRule="exact" w:line="261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Tiene una idea principal que es ampliada y desarmada en varias ideas secundarias.</w:t>
      </w:r>
    </w:p>
    <w:p>
      <w:pPr>
        <w:pStyle w:val="Normal"/>
        <w:numPr>
          <w:ilvl w:val="0"/>
          <w:numId w:val="5"/>
        </w:numPr>
        <w:spacing w:lineRule="exact" w:line="261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Las ideas principales están dentro de cuadros, y las flechas contienen palabras que indican nexos.</w:t>
      </w:r>
    </w:p>
    <w:p>
      <w:pPr>
        <w:pStyle w:val="Normal"/>
        <w:spacing w:lineRule="exact" w:line="261"/>
        <w:jc w:val="left"/>
        <w:rPr>
          <w:rFonts w:ascii="Calibri" w:hAnsi="Calibri" w:eastAsia="Calibri" w:cs="Calibri"/>
        </w:rPr>
      </w:pPr>
      <w:r>
        <w:rPr>
          <w:rFonts w:eastAsiaTheme="minorEastAsia"/>
          <w:sz w:val="20"/>
          <w:szCs w:val="20"/>
          <w:u w:val="none"/>
          <w:shd w:fill="auto" w:val="clear"/>
          <w:lang w:val="es-AR" w:eastAsia="es-AR" w:bidi="ar-SA"/>
        </w:rPr>
      </w:r>
    </w:p>
    <w:p>
      <w:pPr>
        <w:pStyle w:val="Normal"/>
        <w:spacing w:lineRule="exact" w:line="261"/>
        <w:jc w:val="left"/>
        <w:rPr>
          <w:rFonts w:eastAsiaTheme="minorEastAsia"/>
          <w:sz w:val="20"/>
          <w:szCs w:val="20"/>
          <w:highlight w:val="none"/>
          <w:u w:val="none"/>
          <w:shd w:fill="auto" w:val="clear"/>
          <w:lang w:val="es-AR" w:eastAsia="es-AR" w:bidi="ar-SA"/>
        </w:rPr>
      </w:pP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 xml:space="preserve">5. </w:t>
      </w:r>
      <w:r>
        <w:rPr>
          <w:rFonts w:eastAsia="Calibri" w:cs="Calibri" w:ascii="Calibri" w:hAnsi="Calibri"/>
          <w:sz w:val="20"/>
          <w:szCs w:val="20"/>
          <w:u w:val="none"/>
          <w:shd w:fill="auto" w:val="clear"/>
          <w:lang w:val="es-AR" w:eastAsia="es-AR" w:bidi="ar-SA"/>
        </w:rPr>
        <w:t>La facilidad del uso de las herramientas tecnológicas en la educación a distancia que tuve a lo largo del curso.</w:t>
      </w:r>
    </w:p>
    <w:sectPr>
      <w:type w:val="nextPage"/>
      <w:pgSz w:w="12240" w:h="15840"/>
      <w:pgMar w:left="1440" w:right="780" w:gutter="0" w:header="0" w:top="1440" w:footer="0" w:bottom="425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s-AR" w:eastAsia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LibreOffice/7.3.4.2$Windows_X86_64 LibreOffice_project/728fec16bd5f605073805c3c9e7c4212a0120dc5</Application>
  <AppVersion>15.0000</AppVersion>
  <DocSecurity>0</DocSecurity>
  <Pages>5</Pages>
  <Words>2479</Words>
  <Characters>12542</Characters>
  <CharactersWithSpaces>14951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2020-10-29T14:32:00Z</dcterms:created>
  <dc:creator>Windows User</dc:creator>
  <dc:description/>
  <dc:language>es-AR</dc:language>
  <cp:lastModifiedBy/>
  <dcterms:modified xsi:type="dcterms:W3CDTF">2022-10-15T22:32:49Z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