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Home Credit Default Risk Business Problem Statement</w:t>
      </w:r>
    </w:p>
    <w:p>
      <w:pPr>
        <w:spacing w:after="120"/>
        <w:jc w:val="center"/>
      </w:pPr>
      <w:r>
        <w:rPr>
          <w:b/>
          <w:color w:val="374151"/>
          <w:sz w:val="22"/>
        </w:rPr>
        <w:t>Balancing Responsible Approvals and Repayment Risk</w:t>
      </w:r>
    </w:p>
    <w:p>
      <w:pPr>
        <w:pStyle w:val="Heading1"/>
      </w:pPr>
      <w:r>
        <w:t>Business Problem</w:t>
      </w:r>
    </w:p>
    <w:p>
      <w:pPr>
        <w:widowControl/>
      </w:pPr>
      <w:r>
        <w:t>As Home Credit adapts its geographic footprint and considers future expansion, it must ensure that its credit-risk decisions remain reliable across different customer populations and market conditions. Borrower characteristics associated with repayment difficulty in one population may not perform equally in another market. This could result in approving higher-risk applicants, increasing delinquency and credit losses, or declining lower-risk applicants, reducing potential revenue and access to credit. The business need is to identify borrower characteristics that consistently indicate repayment difficulty and support informed approvals. The dataset can identify candidate predictors, but any cross-market use requires validation with current local data.</w:t>
      </w:r>
    </w:p>
    <w:p>
      <w:pPr>
        <w:pStyle w:val="Heading1"/>
      </w:pPr>
      <w:r>
        <w:t>Analytics Approach</w:t>
      </w:r>
    </w:p>
    <w:p>
      <w:pPr>
        <w:widowControl/>
      </w:pPr>
      <w:r>
        <w:t>The project will use the historical Home Credit Default Risk data to examine relationships among applicant characteristics, prior applications, bureau history, and repayment behavior. After assessing data quality and important risk patterns, the analysis will compare a transparent baseline with predictive alternatives on a held-out validation sample. It will then test decision thresholds to show the trade-off between the simulated share of applicants approved and the observed rate of repayment difficulty. Variables will be assessed for predictive value, availability, and ease of verification. The deliverable will be an executive recommendation on risk factors, risk segments, and a decision threshold for market-specific validation—not simply the highest-scoring model.</w:t>
      </w:r>
    </w:p>
    <w:p>
      <w:pPr>
        <w:pStyle w:val="Heading1"/>
      </w:pPr>
      <w:r>
        <w:t>Benefit of a Solution</w:t>
      </w:r>
    </w:p>
    <w:p>
      <w:pPr>
        <w:widowControl/>
      </w:pPr>
      <w:r>
        <w:t>A useful solution would help Home Credit reduce avoidable repayment losses while preserving lending opportunities for customers likely to repay. A focused set of reliable, readily available variables could speed routine lower-risk approvals and direct uncertain applications to manual review, improving consistency, customer experience, and responsible-lending oversight. Business value will be estimated through threshold scenarios that compare the cost of repayment difficulty with the opportunity value of approving additional lower-risk applicants.</w:t>
      </w:r>
    </w:p>
    <w:p>
      <w:pPr>
        <w:pStyle w:val="Heading1"/>
      </w:pPr>
      <w:r>
        <w:t>Success Metrics</w:t>
      </w:r>
    </w:p>
    <w:p>
      <w:pPr>
        <w:widowControl/>
      </w:pPr>
      <w:r>
        <w:rPr>
          <w:b/>
        </w:rPr>
        <w:t xml:space="preserve">Primary business criterion. </w:t>
      </w:r>
      <w:r>
        <w:t xml:space="preserve">On the validation sample, the recommended threshold should produce either at least a 5% relative reduction in the repayment-difficulty rate at the same simulated approval rate, or at least a 5% relative increase in the simulated approval rate at the same repayment-difficulty rate, compared with the baseline approach. </w:t>
      </w:r>
      <w:r>
        <w:rPr>
          <w:b/>
        </w:rPr>
        <w:t xml:space="preserve">Supporting criteria. </w:t>
      </w:r>
      <w:r>
        <w:t>The analysis should outperform the baseline in discrimination, demonstrate acceptable calibration, and report precision and recall for applicants identified as higher risk. Results must also be checked for stability across major customer segments. If timestamps become available, median decision time and the straight-through-processing rate should be tracked as secondary measures. The business trade-off takes priority over any single model-performance statistic.</w:t>
      </w:r>
    </w:p>
    <w:p>
      <w:pPr>
        <w:pStyle w:val="Heading1"/>
      </w:pPr>
      <w:r>
        <w:t>Scope and Project Boundaries</w:t>
      </w:r>
    </w:p>
    <w:p>
      <w:pPr>
        <w:widowControl/>
      </w:pPr>
      <w:r>
        <w:t>The analysis is limited to the supplied historical Kaggle data and uses the dataset’s TARGET variable as the indicator of repayment difficulty. It covers exploratory analysis, risk estimation, validation, threshold comparison, and an executive recommendation. It excludes production deployment, causal claims, and conclusions about current Home Credit markets without additional validation. Because outcomes for declined applicants are not observed, the project cannot directly calculate actual revenue lost from past rejections; approval rates in this study are simulated threshold scenarios. Any operational pilot would require current market-specific data, compliance review, and approval by Credit Risk leadership.</w:t>
      </w:r>
    </w:p>
    <w:sectPr w:rsidR="00FC693F" w:rsidRPr="0006063C" w:rsidSect="00034616">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20"/>
      <w:outlineLvl w:val="0"/>
    </w:pPr>
    <w:rPr>
      <w:rFonts w:asciiTheme="majorHAnsi" w:eastAsiaTheme="majorEastAsia" w:hAnsiTheme="majorHAnsi" w:cstheme="majorBidi" w:ascii="Aptos" w:hAnsi="Aptos"/>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Credit Default Risk Business Problem Statement</dc:title>
  <dc:subject>Rubric aligned one page business problem statement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