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1F7" w:rsidRPr="006041F7" w:rsidRDefault="006041F7" w:rsidP="006041F7">
      <w:pPr>
        <w:spacing w:after="0" w:line="240" w:lineRule="auto"/>
        <w:jc w:val="both"/>
        <w:rPr>
          <w:b/>
          <w:sz w:val="28"/>
          <w:szCs w:val="28"/>
        </w:rPr>
      </w:pPr>
      <w:r w:rsidRPr="006041F7">
        <w:rPr>
          <w:b/>
          <w:sz w:val="28"/>
          <w:szCs w:val="28"/>
        </w:rPr>
        <w:t>Отчет по результатам оценки рисков информационной безопасности</w:t>
      </w:r>
    </w:p>
    <w:p w:rsidR="006041F7" w:rsidRDefault="006041F7" w:rsidP="006041F7">
      <w:pPr>
        <w:spacing w:after="0" w:line="240" w:lineRule="auto"/>
        <w:jc w:val="both"/>
        <w:rPr>
          <w:sz w:val="28"/>
          <w:szCs w:val="28"/>
        </w:rPr>
      </w:pPr>
    </w:p>
    <w:p w:rsidR="006041F7" w:rsidRPr="00243EC5" w:rsidRDefault="006041F7" w:rsidP="006041F7">
      <w:pPr>
        <w:pStyle w:val="11"/>
      </w:pPr>
      <w:r w:rsidRPr="00243EC5">
        <w:t>1</w:t>
      </w:r>
      <w:r w:rsidRPr="00243EC5">
        <w:tab/>
        <w:t>ОБЩИЕ СВЕДЕНИЯ</w:t>
      </w:r>
    </w:p>
    <w:p w:rsidR="006041F7" w:rsidRPr="004C0D0A" w:rsidRDefault="006041F7" w:rsidP="006041F7">
      <w:pPr>
        <w:contextualSpacing/>
        <w:rPr>
          <w:rFonts w:cs="Tahoma"/>
          <w:szCs w:val="20"/>
        </w:rPr>
      </w:pPr>
      <w:r w:rsidRPr="004C0D0A">
        <w:rPr>
          <w:rFonts w:cs="Tahoma"/>
          <w:szCs w:val="20"/>
        </w:rPr>
        <w:t>1.1</w:t>
      </w:r>
      <w:r w:rsidRPr="004C0D0A">
        <w:rPr>
          <w:rFonts w:cs="Tahoma"/>
          <w:szCs w:val="20"/>
        </w:rPr>
        <w:tab/>
        <w:t>Назначение и область действия документа</w:t>
      </w:r>
    </w:p>
    <w:p w:rsidR="006041F7" w:rsidRPr="004C0D0A" w:rsidRDefault="006041F7" w:rsidP="006041F7">
      <w:pPr>
        <w:contextualSpacing/>
        <w:rPr>
          <w:rFonts w:cs="Tahoma"/>
          <w:szCs w:val="20"/>
        </w:rPr>
      </w:pPr>
      <w:r w:rsidRPr="004C0D0A">
        <w:rPr>
          <w:rFonts w:cs="Tahoma"/>
          <w:szCs w:val="20"/>
        </w:rPr>
        <w:t>1.2</w:t>
      </w:r>
      <w:r w:rsidRPr="004C0D0A">
        <w:rPr>
          <w:rFonts w:cs="Tahoma"/>
          <w:szCs w:val="20"/>
        </w:rPr>
        <w:tab/>
        <w:t>Нормативные ссылки</w:t>
      </w:r>
    </w:p>
    <w:p w:rsidR="006041F7" w:rsidRPr="004C0D0A" w:rsidRDefault="006041F7" w:rsidP="006041F7">
      <w:pPr>
        <w:contextualSpacing/>
        <w:rPr>
          <w:rFonts w:cs="Tahoma"/>
          <w:szCs w:val="20"/>
        </w:rPr>
      </w:pPr>
      <w:r w:rsidRPr="004C0D0A">
        <w:rPr>
          <w:rFonts w:cs="Tahoma"/>
          <w:szCs w:val="20"/>
        </w:rPr>
        <w:t>1.3</w:t>
      </w:r>
      <w:r w:rsidRPr="004C0D0A">
        <w:rPr>
          <w:rFonts w:cs="Tahoma"/>
          <w:szCs w:val="20"/>
        </w:rPr>
        <w:tab/>
        <w:t>Определения, обозначения и сокращения</w:t>
      </w:r>
    </w:p>
    <w:p w:rsidR="006041F7" w:rsidRPr="00243EC5" w:rsidRDefault="006041F7" w:rsidP="006041F7">
      <w:pPr>
        <w:pStyle w:val="11"/>
      </w:pPr>
      <w:r w:rsidRPr="00243EC5">
        <w:t>2</w:t>
      </w:r>
      <w:r w:rsidRPr="00243EC5">
        <w:tab/>
        <w:t>ОЦЕНКА РИСКОВ ИБ</w:t>
      </w:r>
    </w:p>
    <w:p w:rsidR="006041F7" w:rsidRPr="004C0D0A" w:rsidRDefault="006041F7" w:rsidP="006041F7">
      <w:pPr>
        <w:contextualSpacing/>
        <w:rPr>
          <w:rFonts w:cs="Tahoma"/>
          <w:szCs w:val="20"/>
        </w:rPr>
      </w:pPr>
      <w:r w:rsidRPr="004C0D0A">
        <w:rPr>
          <w:rFonts w:cs="Tahoma"/>
          <w:szCs w:val="20"/>
        </w:rPr>
        <w:t>2.1</w:t>
      </w:r>
      <w:r w:rsidRPr="004C0D0A">
        <w:rPr>
          <w:rFonts w:cs="Tahoma"/>
          <w:szCs w:val="20"/>
        </w:rPr>
        <w:tab/>
        <w:t>Наименование информационной системы 1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508"/>
        <w:gridCol w:w="1678"/>
        <w:gridCol w:w="783"/>
        <w:gridCol w:w="551"/>
        <w:gridCol w:w="860"/>
        <w:gridCol w:w="1190"/>
        <w:gridCol w:w="645"/>
        <w:gridCol w:w="264"/>
        <w:gridCol w:w="857"/>
        <w:gridCol w:w="1015"/>
        <w:gridCol w:w="994"/>
      </w:tblGrid>
      <w:tr w:rsidR="006041F7" w:rsidRPr="004C0D0A" w:rsidTr="000202DD">
        <w:trPr>
          <w:trHeight w:val="375"/>
        </w:trPr>
        <w:tc>
          <w:tcPr>
            <w:tcW w:w="2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/>
                <w:bCs/>
                <w:color w:val="000000"/>
                <w:sz w:val="15"/>
                <w:szCs w:val="15"/>
              </w:rPr>
            </w:pPr>
            <w:r w:rsidRPr="004C0D0A">
              <w:rPr>
                <w:rFonts w:cs="Arial"/>
                <w:b/>
                <w:bCs/>
                <w:color w:val="000000"/>
                <w:sz w:val="15"/>
                <w:szCs w:val="15"/>
              </w:rPr>
              <w:t>Обрабатываемые первичные активы</w:t>
            </w:r>
          </w:p>
        </w:tc>
        <w:tc>
          <w:tcPr>
            <w:tcW w:w="22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/>
                <w:bCs/>
                <w:color w:val="000000"/>
                <w:sz w:val="15"/>
                <w:szCs w:val="15"/>
              </w:rPr>
            </w:pPr>
            <w:r w:rsidRPr="004C0D0A">
              <w:rPr>
                <w:rFonts w:cs="Arial"/>
                <w:b/>
                <w:bCs/>
                <w:color w:val="000000"/>
                <w:sz w:val="15"/>
                <w:szCs w:val="15"/>
              </w:rPr>
              <w:t>Перечень вторичных активов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/>
                <w:bCs/>
                <w:color w:val="000000"/>
                <w:sz w:val="15"/>
                <w:szCs w:val="15"/>
              </w:rPr>
            </w:pPr>
            <w:r w:rsidRPr="004C0D0A">
              <w:rPr>
                <w:rFonts w:cs="Arial"/>
                <w:b/>
                <w:bCs/>
                <w:color w:val="000000"/>
                <w:sz w:val="15"/>
                <w:szCs w:val="15"/>
              </w:rPr>
              <w:t>Реализованные защитные меры</w:t>
            </w:r>
          </w:p>
        </w:tc>
        <w:tc>
          <w:tcPr>
            <w:tcW w:w="31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/>
                <w:bCs/>
                <w:color w:val="000000"/>
                <w:sz w:val="15"/>
                <w:szCs w:val="15"/>
              </w:rPr>
            </w:pPr>
            <w:r w:rsidRPr="004C0D0A">
              <w:rPr>
                <w:rFonts w:cs="Arial"/>
                <w:b/>
                <w:bCs/>
                <w:color w:val="000000"/>
                <w:sz w:val="15"/>
                <w:szCs w:val="15"/>
              </w:rPr>
              <w:t>Ущерб</w:t>
            </w:r>
          </w:p>
        </w:tc>
      </w:tr>
      <w:tr w:rsidR="006041F7" w:rsidRPr="004C0D0A" w:rsidTr="000202DD">
        <w:trPr>
          <w:trHeight w:val="375"/>
        </w:trPr>
        <w:tc>
          <w:tcPr>
            <w:tcW w:w="21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5"/>
                <w:szCs w:val="15"/>
              </w:rPr>
            </w:pPr>
            <w:r w:rsidRPr="004C0D0A">
              <w:rPr>
                <w:rFonts w:cs="Arial"/>
                <w:i/>
                <w:color w:val="000000"/>
                <w:sz w:val="15"/>
                <w:szCs w:val="15"/>
              </w:rPr>
              <w:t>Номера, идентификаторы первичных активов, либо полное описание</w:t>
            </w:r>
          </w:p>
        </w:tc>
        <w:tc>
          <w:tcPr>
            <w:tcW w:w="220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041F7" w:rsidRPr="004C0D0A" w:rsidRDefault="006041F7" w:rsidP="000202DD">
            <w:pPr>
              <w:pStyle w:val="a3"/>
              <w:tabs>
                <w:tab w:val="left" w:pos="399"/>
              </w:tabs>
              <w:ind w:left="0"/>
              <w:jc w:val="center"/>
              <w:rPr>
                <w:rFonts w:cs="Arial"/>
                <w:i/>
                <w:color w:val="000000"/>
                <w:sz w:val="15"/>
                <w:szCs w:val="15"/>
              </w:rPr>
            </w:pPr>
            <w:r w:rsidRPr="004C0D0A">
              <w:rPr>
                <w:rFonts w:cs="Arial"/>
                <w:i/>
                <w:color w:val="000000"/>
                <w:sz w:val="15"/>
                <w:szCs w:val="15"/>
              </w:rPr>
              <w:t>Номера, идентификаторы вторичных активов, либо полное описание</w:t>
            </w:r>
          </w:p>
        </w:tc>
        <w:tc>
          <w:tcPr>
            <w:tcW w:w="18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041F7" w:rsidRPr="004C0D0A" w:rsidRDefault="006041F7" w:rsidP="000202DD">
            <w:pPr>
              <w:pStyle w:val="a3"/>
              <w:tabs>
                <w:tab w:val="left" w:pos="399"/>
              </w:tabs>
              <w:ind w:left="0"/>
              <w:jc w:val="center"/>
              <w:rPr>
                <w:rFonts w:cs="Arial"/>
                <w:sz w:val="15"/>
                <w:szCs w:val="15"/>
              </w:rPr>
            </w:pPr>
            <w:r w:rsidRPr="004C0D0A">
              <w:rPr>
                <w:rFonts w:cs="Arial"/>
                <w:i/>
                <w:color w:val="000000"/>
                <w:sz w:val="15"/>
                <w:szCs w:val="15"/>
              </w:rPr>
              <w:t>Защитные меры, используемые в рамках данного типа вторичных активов (перечислить)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Cs/>
                <w:color w:val="000000"/>
                <w:sz w:val="15"/>
                <w:szCs w:val="15"/>
              </w:rPr>
            </w:pPr>
            <w:r w:rsidRPr="004C0D0A">
              <w:rPr>
                <w:rFonts w:cs="Arial"/>
                <w:bCs/>
                <w:color w:val="000000"/>
                <w:sz w:val="15"/>
                <w:szCs w:val="15"/>
              </w:rPr>
              <w:t>К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Cs/>
                <w:color w:val="000000"/>
                <w:sz w:val="15"/>
                <w:szCs w:val="15"/>
              </w:rPr>
            </w:pPr>
            <w:r w:rsidRPr="004C0D0A">
              <w:rPr>
                <w:rFonts w:cs="Arial"/>
                <w:bCs/>
                <w:color w:val="000000"/>
                <w:sz w:val="15"/>
                <w:szCs w:val="15"/>
              </w:rPr>
              <w:t>Ц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Cs/>
                <w:color w:val="000000"/>
                <w:sz w:val="15"/>
                <w:szCs w:val="15"/>
              </w:rPr>
            </w:pPr>
            <w:r w:rsidRPr="004C0D0A">
              <w:rPr>
                <w:rFonts w:cs="Arial"/>
                <w:bCs/>
                <w:color w:val="000000"/>
                <w:sz w:val="15"/>
                <w:szCs w:val="15"/>
              </w:rPr>
              <w:t>Д</w:t>
            </w:r>
          </w:p>
        </w:tc>
      </w:tr>
      <w:tr w:rsidR="006041F7" w:rsidRPr="004C0D0A" w:rsidTr="000202DD">
        <w:trPr>
          <w:trHeight w:val="910"/>
        </w:trPr>
        <w:tc>
          <w:tcPr>
            <w:tcW w:w="21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color w:val="000000"/>
                <w:sz w:val="15"/>
                <w:szCs w:val="15"/>
              </w:rPr>
            </w:pPr>
          </w:p>
        </w:tc>
        <w:tc>
          <w:tcPr>
            <w:tcW w:w="220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color w:val="000000"/>
                <w:sz w:val="15"/>
                <w:szCs w:val="15"/>
              </w:rPr>
            </w:pPr>
          </w:p>
        </w:tc>
        <w:tc>
          <w:tcPr>
            <w:tcW w:w="184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color w:val="000000"/>
                <w:sz w:val="15"/>
                <w:szCs w:val="15"/>
              </w:rPr>
            </w:pP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Cs/>
                <w:sz w:val="15"/>
                <w:szCs w:val="15"/>
                <w:highlight w:val="yellow"/>
              </w:rPr>
            </w:pPr>
            <w:r w:rsidRPr="004C0D0A">
              <w:rPr>
                <w:rFonts w:cs="Arial"/>
                <w:bCs/>
                <w:i/>
                <w:sz w:val="15"/>
                <w:szCs w:val="15"/>
              </w:rPr>
              <w:t xml:space="preserve">Оценка ущерба при нарушении конфиденциальности первичных активов 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Cs/>
                <w:sz w:val="15"/>
                <w:szCs w:val="15"/>
                <w:highlight w:val="yellow"/>
              </w:rPr>
            </w:pPr>
            <w:r w:rsidRPr="004C0D0A">
              <w:rPr>
                <w:rFonts w:cs="Arial"/>
                <w:bCs/>
                <w:i/>
                <w:sz w:val="15"/>
                <w:szCs w:val="15"/>
              </w:rPr>
              <w:t xml:space="preserve">Оценка ущерба при нарушении целостности первичных активов 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Cs/>
                <w:sz w:val="15"/>
                <w:szCs w:val="15"/>
                <w:highlight w:val="yellow"/>
              </w:rPr>
            </w:pPr>
            <w:r w:rsidRPr="004C0D0A">
              <w:rPr>
                <w:rFonts w:cs="Arial"/>
                <w:bCs/>
                <w:i/>
                <w:sz w:val="15"/>
                <w:szCs w:val="15"/>
              </w:rPr>
              <w:t xml:space="preserve">Оценка ущерба при нарушении целостности первичных активов </w:t>
            </w:r>
          </w:p>
        </w:tc>
      </w:tr>
      <w:tr w:rsidR="006041F7" w:rsidRPr="004C0D0A" w:rsidTr="000202DD">
        <w:trPr>
          <w:trHeight w:val="572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0000"/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Cs/>
                <w:sz w:val="15"/>
                <w:szCs w:val="15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041F7" w:rsidRPr="004C0D0A" w:rsidRDefault="006041F7" w:rsidP="000202DD">
            <w:pPr>
              <w:contextualSpacing/>
              <w:rPr>
                <w:rFonts w:cs="Arial"/>
                <w:bCs/>
                <w:sz w:val="15"/>
                <w:szCs w:val="15"/>
              </w:rPr>
            </w:pPr>
            <w:r w:rsidRPr="004C0D0A">
              <w:rPr>
                <w:rFonts w:cs="Arial"/>
                <w:bCs/>
                <w:sz w:val="15"/>
                <w:szCs w:val="15"/>
              </w:rPr>
              <w:t>Высокий риск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C000"/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Cs/>
                <w:sz w:val="15"/>
                <w:szCs w:val="15"/>
              </w:rPr>
            </w:pPr>
          </w:p>
        </w:tc>
        <w:tc>
          <w:tcPr>
            <w:tcW w:w="2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041F7" w:rsidRPr="004C0D0A" w:rsidRDefault="006041F7" w:rsidP="000202DD">
            <w:pPr>
              <w:contextualSpacing/>
              <w:rPr>
                <w:rFonts w:cs="Arial"/>
                <w:bCs/>
                <w:sz w:val="15"/>
                <w:szCs w:val="15"/>
              </w:rPr>
            </w:pPr>
            <w:r w:rsidRPr="004C0D0A">
              <w:rPr>
                <w:rFonts w:cs="Arial"/>
                <w:bCs/>
                <w:sz w:val="15"/>
                <w:szCs w:val="15"/>
              </w:rPr>
              <w:t>Средний риск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5F9127"/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Cs/>
                <w:sz w:val="15"/>
                <w:szCs w:val="15"/>
              </w:rPr>
            </w:pPr>
          </w:p>
        </w:tc>
        <w:tc>
          <w:tcPr>
            <w:tcW w:w="2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041F7" w:rsidRPr="004C0D0A" w:rsidRDefault="006041F7" w:rsidP="000202DD">
            <w:pPr>
              <w:contextualSpacing/>
              <w:rPr>
                <w:rFonts w:cs="Arial"/>
                <w:bCs/>
                <w:sz w:val="15"/>
                <w:szCs w:val="15"/>
              </w:rPr>
            </w:pPr>
            <w:r w:rsidRPr="004C0D0A">
              <w:rPr>
                <w:rFonts w:cs="Arial"/>
                <w:bCs/>
                <w:sz w:val="15"/>
                <w:szCs w:val="15"/>
              </w:rPr>
              <w:t>Низкий риск</w:t>
            </w:r>
          </w:p>
        </w:tc>
      </w:tr>
    </w:tbl>
    <w:p w:rsidR="006041F7" w:rsidRPr="00ED3006" w:rsidRDefault="006041F7" w:rsidP="006041F7">
      <w:pPr>
        <w:rPr>
          <w:rFonts w:cs="Tahoma"/>
          <w:sz w:val="10"/>
          <w:szCs w:val="1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69"/>
        <w:gridCol w:w="1072"/>
        <w:gridCol w:w="1918"/>
        <w:gridCol w:w="748"/>
        <w:gridCol w:w="592"/>
        <w:gridCol w:w="686"/>
        <w:gridCol w:w="635"/>
        <w:gridCol w:w="464"/>
        <w:gridCol w:w="464"/>
        <w:gridCol w:w="464"/>
        <w:gridCol w:w="830"/>
        <w:gridCol w:w="703"/>
      </w:tblGrid>
      <w:tr w:rsidR="006041F7" w:rsidRPr="004C0D0A" w:rsidTr="006041F7">
        <w:trPr>
          <w:trHeight w:val="473"/>
          <w:tblHeader/>
          <w:jc w:val="center"/>
        </w:trPr>
        <w:tc>
          <w:tcPr>
            <w:tcW w:w="412" w:type="pct"/>
            <w:vMerge w:val="restart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/>
                <w:bCs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b/>
                <w:bCs/>
                <w:color w:val="000000"/>
                <w:sz w:val="14"/>
                <w:szCs w:val="14"/>
              </w:rPr>
              <w:t>Идентификатор риска</w:t>
            </w:r>
          </w:p>
        </w:tc>
        <w:tc>
          <w:tcPr>
            <w:tcW w:w="574" w:type="pct"/>
            <w:vMerge w:val="restart"/>
            <w:shd w:val="clear" w:color="auto" w:fill="D9D9D9"/>
            <w:noWrap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/>
                <w:bCs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b/>
                <w:bCs/>
                <w:color w:val="000000"/>
                <w:sz w:val="14"/>
                <w:szCs w:val="14"/>
              </w:rPr>
              <w:t>Идентификатор угрозы</w:t>
            </w:r>
          </w:p>
        </w:tc>
        <w:tc>
          <w:tcPr>
            <w:tcW w:w="1026" w:type="pct"/>
            <w:vMerge w:val="restart"/>
            <w:shd w:val="clear" w:color="auto" w:fill="D9D9D9"/>
            <w:noWrap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/>
                <w:bCs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b/>
                <w:bCs/>
                <w:color w:val="000000"/>
                <w:sz w:val="14"/>
                <w:szCs w:val="14"/>
              </w:rPr>
              <w:t>Наименование сценария реализации угрозы</w:t>
            </w:r>
          </w:p>
        </w:tc>
        <w:tc>
          <w:tcPr>
            <w:tcW w:w="400" w:type="pct"/>
            <w:vMerge w:val="restart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/>
                <w:bCs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b/>
                <w:bCs/>
                <w:color w:val="000000"/>
                <w:sz w:val="14"/>
                <w:szCs w:val="14"/>
              </w:rPr>
              <w:t>Возможность возникновения угрозы</w:t>
            </w:r>
          </w:p>
        </w:tc>
        <w:tc>
          <w:tcPr>
            <w:tcW w:w="317" w:type="pct"/>
            <w:vMerge w:val="restart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/>
                <w:bCs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b/>
                <w:bCs/>
                <w:color w:val="000000"/>
                <w:sz w:val="14"/>
                <w:szCs w:val="14"/>
              </w:rPr>
              <w:t xml:space="preserve">Возможная уязвимость </w:t>
            </w:r>
          </w:p>
        </w:tc>
        <w:tc>
          <w:tcPr>
            <w:tcW w:w="367" w:type="pct"/>
            <w:vMerge w:val="restart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/>
                <w:bCs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b/>
                <w:bCs/>
                <w:color w:val="000000"/>
                <w:sz w:val="14"/>
                <w:szCs w:val="14"/>
              </w:rPr>
              <w:t>Вероятность эксплуатации уязвимости</w:t>
            </w:r>
          </w:p>
        </w:tc>
        <w:tc>
          <w:tcPr>
            <w:tcW w:w="340" w:type="pct"/>
            <w:vMerge w:val="restart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/>
                <w:bCs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b/>
                <w:bCs/>
                <w:color w:val="000000"/>
                <w:sz w:val="14"/>
                <w:szCs w:val="14"/>
              </w:rPr>
              <w:t>Вероятность реализации сценария</w:t>
            </w:r>
          </w:p>
        </w:tc>
        <w:tc>
          <w:tcPr>
            <w:tcW w:w="743" w:type="pct"/>
            <w:gridSpan w:val="3"/>
            <w:shd w:val="clear" w:color="auto" w:fill="D9D9D9"/>
            <w:noWrap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/>
                <w:bCs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b/>
                <w:bCs/>
                <w:color w:val="000000"/>
                <w:sz w:val="14"/>
                <w:szCs w:val="14"/>
              </w:rPr>
              <w:t>Уровень риска по свойствам</w:t>
            </w:r>
          </w:p>
        </w:tc>
        <w:tc>
          <w:tcPr>
            <w:tcW w:w="444" w:type="pct"/>
            <w:vMerge w:val="restart"/>
            <w:shd w:val="clear" w:color="auto" w:fill="D9D9D9"/>
            <w:noWrap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/>
                <w:bCs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b/>
                <w:bCs/>
                <w:color w:val="000000"/>
                <w:sz w:val="14"/>
                <w:szCs w:val="14"/>
              </w:rPr>
              <w:t>Общий уровень риска</w:t>
            </w:r>
          </w:p>
        </w:tc>
        <w:tc>
          <w:tcPr>
            <w:tcW w:w="378" w:type="pct"/>
            <w:vMerge w:val="restart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/>
                <w:bCs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b/>
                <w:bCs/>
                <w:color w:val="000000"/>
                <w:sz w:val="14"/>
                <w:szCs w:val="14"/>
              </w:rPr>
              <w:t>Владелец риска</w:t>
            </w:r>
          </w:p>
        </w:tc>
      </w:tr>
      <w:tr w:rsidR="006041F7" w:rsidRPr="004C0D0A" w:rsidTr="006041F7">
        <w:trPr>
          <w:trHeight w:val="257"/>
          <w:tblHeader/>
          <w:jc w:val="center"/>
        </w:trPr>
        <w:tc>
          <w:tcPr>
            <w:tcW w:w="412" w:type="pct"/>
            <w:vMerge/>
            <w:shd w:val="clear" w:color="auto" w:fill="D9D9D9"/>
            <w:tcMar>
              <w:left w:w="28" w:type="dxa"/>
              <w:right w:w="28" w:type="dxa"/>
            </w:tcMar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574" w:type="pct"/>
            <w:vMerge/>
            <w:shd w:val="clear" w:color="auto" w:fill="D9D9D9"/>
            <w:noWrap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026" w:type="pct"/>
            <w:vMerge/>
            <w:shd w:val="clear" w:color="auto" w:fill="D9D9D9"/>
            <w:noWrap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400" w:type="pct"/>
            <w:vMerge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317" w:type="pct"/>
            <w:vMerge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367" w:type="pct"/>
            <w:vMerge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340" w:type="pct"/>
            <w:vMerge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248" w:type="pct"/>
            <w:shd w:val="clear" w:color="auto" w:fill="D9D9D9"/>
            <w:noWrap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/>
                <w:bCs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b/>
                <w:bCs/>
                <w:color w:val="000000"/>
                <w:sz w:val="14"/>
                <w:szCs w:val="14"/>
              </w:rPr>
              <w:t>К</w:t>
            </w:r>
          </w:p>
        </w:tc>
        <w:tc>
          <w:tcPr>
            <w:tcW w:w="248" w:type="pct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/>
                <w:bCs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b/>
                <w:bCs/>
                <w:color w:val="000000"/>
                <w:sz w:val="14"/>
                <w:szCs w:val="14"/>
              </w:rPr>
              <w:t>Ц</w:t>
            </w:r>
          </w:p>
        </w:tc>
        <w:tc>
          <w:tcPr>
            <w:tcW w:w="248" w:type="pct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/>
                <w:bCs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b/>
                <w:bCs/>
                <w:color w:val="000000"/>
                <w:sz w:val="14"/>
                <w:szCs w:val="14"/>
              </w:rPr>
              <w:t>Д</w:t>
            </w:r>
          </w:p>
        </w:tc>
        <w:tc>
          <w:tcPr>
            <w:tcW w:w="444" w:type="pct"/>
            <w:vMerge/>
            <w:shd w:val="clear" w:color="auto" w:fill="D9D9D9"/>
            <w:noWrap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378" w:type="pct"/>
            <w:vMerge/>
            <w:shd w:val="clear" w:color="auto" w:fill="D9D9D9"/>
            <w:tcMar>
              <w:left w:w="28" w:type="dxa"/>
              <w:right w:w="28" w:type="dxa"/>
            </w:tcMar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bCs/>
                <w:color w:val="000000"/>
                <w:sz w:val="14"/>
                <w:szCs w:val="14"/>
              </w:rPr>
            </w:pPr>
          </w:p>
        </w:tc>
      </w:tr>
      <w:tr w:rsidR="006041F7" w:rsidRPr="004C0D0A" w:rsidTr="006041F7">
        <w:trPr>
          <w:trHeight w:val="80"/>
          <w:jc w:val="center"/>
        </w:trPr>
        <w:tc>
          <w:tcPr>
            <w:tcW w:w="412" w:type="pct"/>
            <w:shd w:val="clear" w:color="000000" w:fill="FFFFFF"/>
            <w:tcMar>
              <w:left w:w="28" w:type="dxa"/>
              <w:right w:w="28" w:type="dxa"/>
            </w:tcMar>
          </w:tcPr>
          <w:p w:rsidR="006041F7" w:rsidRPr="004C0D0A" w:rsidRDefault="006041F7" w:rsidP="006041F7">
            <w:pPr>
              <w:pStyle w:val="a3"/>
              <w:numPr>
                <w:ilvl w:val="0"/>
                <w:numId w:val="1"/>
              </w:numPr>
              <w:tabs>
                <w:tab w:val="left" w:pos="851"/>
              </w:tabs>
              <w:spacing w:after="0" w:line="240" w:lineRule="auto"/>
              <w:ind w:left="357" w:hanging="357"/>
              <w:jc w:val="both"/>
              <w:rPr>
                <w:rFonts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74" w:type="pct"/>
            <w:shd w:val="clear" w:color="000000" w:fill="FFFFFF"/>
            <w:noWrap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Уг-1</w:t>
            </w:r>
          </w:p>
        </w:tc>
        <w:tc>
          <w:tcPr>
            <w:tcW w:w="1026" w:type="pct"/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rPr>
                <w:rFonts w:cs="Arial"/>
                <w:i/>
                <w:sz w:val="14"/>
                <w:szCs w:val="14"/>
              </w:rPr>
            </w:pPr>
            <w:r w:rsidRPr="004C0D0A">
              <w:rPr>
                <w:rFonts w:cs="Arial"/>
                <w:i/>
                <w:sz w:val="14"/>
                <w:szCs w:val="14"/>
              </w:rPr>
              <w:t>Сценарий 1</w:t>
            </w:r>
          </w:p>
        </w:tc>
        <w:tc>
          <w:tcPr>
            <w:tcW w:w="400" w:type="pct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Высокая</w:t>
            </w:r>
          </w:p>
        </w:tc>
        <w:tc>
          <w:tcPr>
            <w:tcW w:w="317" w:type="pct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У1</w:t>
            </w:r>
          </w:p>
        </w:tc>
        <w:tc>
          <w:tcPr>
            <w:tcW w:w="367" w:type="pct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Высокая</w:t>
            </w:r>
          </w:p>
        </w:tc>
        <w:tc>
          <w:tcPr>
            <w:tcW w:w="340" w:type="pct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Высокая</w:t>
            </w:r>
          </w:p>
        </w:tc>
        <w:tc>
          <w:tcPr>
            <w:tcW w:w="248" w:type="pct"/>
            <w:shd w:val="clear" w:color="auto" w:fill="FF0000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В</w:t>
            </w:r>
          </w:p>
        </w:tc>
        <w:tc>
          <w:tcPr>
            <w:tcW w:w="248" w:type="pct"/>
            <w:shd w:val="clear" w:color="auto" w:fill="FF0000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В</w:t>
            </w:r>
          </w:p>
        </w:tc>
        <w:tc>
          <w:tcPr>
            <w:tcW w:w="248" w:type="pct"/>
            <w:shd w:val="clear" w:color="auto" w:fill="FF0000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В</w:t>
            </w:r>
          </w:p>
        </w:tc>
        <w:tc>
          <w:tcPr>
            <w:tcW w:w="444" w:type="pct"/>
            <w:shd w:val="clear" w:color="auto" w:fill="FF0000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В</w:t>
            </w:r>
          </w:p>
        </w:tc>
        <w:tc>
          <w:tcPr>
            <w:tcW w:w="378" w:type="pct"/>
            <w:shd w:val="clear" w:color="auto" w:fill="FFFFFF" w:themeFill="background1"/>
            <w:tcMar>
              <w:left w:w="28" w:type="dxa"/>
              <w:right w:w="28" w:type="dxa"/>
            </w:tcMar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ФИО</w:t>
            </w:r>
          </w:p>
        </w:tc>
      </w:tr>
      <w:tr w:rsidR="006041F7" w:rsidRPr="004C0D0A" w:rsidTr="006041F7">
        <w:trPr>
          <w:trHeight w:val="80"/>
          <w:jc w:val="center"/>
        </w:trPr>
        <w:tc>
          <w:tcPr>
            <w:tcW w:w="412" w:type="pct"/>
            <w:shd w:val="clear" w:color="000000" w:fill="FFFFFF"/>
            <w:tcMar>
              <w:left w:w="28" w:type="dxa"/>
              <w:right w:w="28" w:type="dxa"/>
            </w:tcMar>
          </w:tcPr>
          <w:p w:rsidR="006041F7" w:rsidRPr="004C0D0A" w:rsidRDefault="006041F7" w:rsidP="006041F7">
            <w:pPr>
              <w:pStyle w:val="a3"/>
              <w:numPr>
                <w:ilvl w:val="0"/>
                <w:numId w:val="1"/>
              </w:numPr>
              <w:tabs>
                <w:tab w:val="left" w:pos="851"/>
              </w:tabs>
              <w:spacing w:after="0" w:line="240" w:lineRule="auto"/>
              <w:ind w:left="357" w:hanging="357"/>
              <w:jc w:val="both"/>
              <w:rPr>
                <w:rFonts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74" w:type="pct"/>
            <w:shd w:val="clear" w:color="000000" w:fill="FFFFFF"/>
            <w:noWrap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Уг-2</w:t>
            </w:r>
          </w:p>
        </w:tc>
        <w:tc>
          <w:tcPr>
            <w:tcW w:w="1026" w:type="pct"/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rPr>
                <w:rFonts w:cs="Arial"/>
                <w:i/>
                <w:sz w:val="14"/>
                <w:szCs w:val="14"/>
              </w:rPr>
            </w:pPr>
            <w:r w:rsidRPr="004C0D0A">
              <w:rPr>
                <w:rFonts w:cs="Arial"/>
                <w:i/>
                <w:sz w:val="14"/>
                <w:szCs w:val="14"/>
              </w:rPr>
              <w:t>Сценарий 2</w:t>
            </w:r>
          </w:p>
        </w:tc>
        <w:tc>
          <w:tcPr>
            <w:tcW w:w="400" w:type="pct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Средняя</w:t>
            </w:r>
          </w:p>
        </w:tc>
        <w:tc>
          <w:tcPr>
            <w:tcW w:w="317" w:type="pct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У2</w:t>
            </w:r>
          </w:p>
        </w:tc>
        <w:tc>
          <w:tcPr>
            <w:tcW w:w="367" w:type="pct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Средняя</w:t>
            </w:r>
          </w:p>
        </w:tc>
        <w:tc>
          <w:tcPr>
            <w:tcW w:w="340" w:type="pct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Средняя</w:t>
            </w:r>
          </w:p>
        </w:tc>
        <w:tc>
          <w:tcPr>
            <w:tcW w:w="248" w:type="pct"/>
            <w:shd w:val="clear" w:color="auto" w:fill="FFC000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С</w:t>
            </w:r>
          </w:p>
        </w:tc>
        <w:tc>
          <w:tcPr>
            <w:tcW w:w="248" w:type="pct"/>
            <w:shd w:val="clear" w:color="auto" w:fill="FFC000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С</w:t>
            </w:r>
          </w:p>
        </w:tc>
        <w:tc>
          <w:tcPr>
            <w:tcW w:w="248" w:type="pct"/>
            <w:shd w:val="clear" w:color="auto" w:fill="FFC000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С</w:t>
            </w:r>
          </w:p>
        </w:tc>
        <w:tc>
          <w:tcPr>
            <w:tcW w:w="444" w:type="pct"/>
            <w:shd w:val="clear" w:color="auto" w:fill="FFC000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С</w:t>
            </w:r>
          </w:p>
        </w:tc>
        <w:tc>
          <w:tcPr>
            <w:tcW w:w="378" w:type="pct"/>
            <w:shd w:val="clear" w:color="auto" w:fill="FFFFFF" w:themeFill="background1"/>
            <w:tcMar>
              <w:left w:w="28" w:type="dxa"/>
              <w:right w:w="28" w:type="dxa"/>
            </w:tcMar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ФИО</w:t>
            </w:r>
          </w:p>
        </w:tc>
      </w:tr>
      <w:tr w:rsidR="006041F7" w:rsidRPr="004C0D0A" w:rsidTr="006041F7">
        <w:trPr>
          <w:trHeight w:val="80"/>
          <w:jc w:val="center"/>
        </w:trPr>
        <w:tc>
          <w:tcPr>
            <w:tcW w:w="412" w:type="pct"/>
            <w:shd w:val="clear" w:color="000000" w:fill="FFFFFF"/>
            <w:tcMar>
              <w:left w:w="28" w:type="dxa"/>
              <w:right w:w="28" w:type="dxa"/>
            </w:tcMar>
          </w:tcPr>
          <w:p w:rsidR="006041F7" w:rsidRPr="004C0D0A" w:rsidRDefault="006041F7" w:rsidP="006041F7">
            <w:pPr>
              <w:pStyle w:val="a3"/>
              <w:numPr>
                <w:ilvl w:val="0"/>
                <w:numId w:val="1"/>
              </w:numPr>
              <w:tabs>
                <w:tab w:val="left" w:pos="851"/>
              </w:tabs>
              <w:spacing w:after="0" w:line="240" w:lineRule="auto"/>
              <w:ind w:left="357" w:hanging="357"/>
              <w:jc w:val="both"/>
              <w:rPr>
                <w:rFonts w:cs="Arial"/>
                <w:i/>
                <w:color w:val="000000"/>
                <w:sz w:val="14"/>
                <w:szCs w:val="14"/>
              </w:rPr>
            </w:pPr>
          </w:p>
        </w:tc>
        <w:tc>
          <w:tcPr>
            <w:tcW w:w="574" w:type="pct"/>
            <w:shd w:val="clear" w:color="000000" w:fill="FFFFFF"/>
            <w:noWrap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Уг-3</w:t>
            </w:r>
          </w:p>
        </w:tc>
        <w:tc>
          <w:tcPr>
            <w:tcW w:w="1026" w:type="pct"/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rPr>
                <w:rFonts w:cs="Arial"/>
                <w:i/>
                <w:sz w:val="14"/>
                <w:szCs w:val="14"/>
              </w:rPr>
            </w:pPr>
            <w:r w:rsidRPr="004C0D0A">
              <w:rPr>
                <w:rFonts w:cs="Arial"/>
                <w:i/>
                <w:sz w:val="14"/>
                <w:szCs w:val="14"/>
              </w:rPr>
              <w:t>Сценарий 3</w:t>
            </w:r>
          </w:p>
        </w:tc>
        <w:tc>
          <w:tcPr>
            <w:tcW w:w="400" w:type="pct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Низкая</w:t>
            </w:r>
          </w:p>
        </w:tc>
        <w:tc>
          <w:tcPr>
            <w:tcW w:w="317" w:type="pct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У3</w:t>
            </w:r>
          </w:p>
        </w:tc>
        <w:tc>
          <w:tcPr>
            <w:tcW w:w="367" w:type="pct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Низкая</w:t>
            </w:r>
          </w:p>
        </w:tc>
        <w:tc>
          <w:tcPr>
            <w:tcW w:w="340" w:type="pct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Низкая</w:t>
            </w:r>
          </w:p>
        </w:tc>
        <w:tc>
          <w:tcPr>
            <w:tcW w:w="248" w:type="pct"/>
            <w:shd w:val="clear" w:color="auto" w:fill="538135" w:themeFill="accent6" w:themeFillShade="BF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Н</w:t>
            </w:r>
          </w:p>
        </w:tc>
        <w:tc>
          <w:tcPr>
            <w:tcW w:w="248" w:type="pct"/>
            <w:shd w:val="clear" w:color="auto" w:fill="538135" w:themeFill="accent6" w:themeFillShade="BF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Н</w:t>
            </w:r>
          </w:p>
        </w:tc>
        <w:tc>
          <w:tcPr>
            <w:tcW w:w="248" w:type="pct"/>
            <w:shd w:val="clear" w:color="auto" w:fill="538135" w:themeFill="accent6" w:themeFillShade="BF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Н</w:t>
            </w:r>
          </w:p>
        </w:tc>
        <w:tc>
          <w:tcPr>
            <w:tcW w:w="444" w:type="pct"/>
            <w:shd w:val="clear" w:color="auto" w:fill="538135" w:themeFill="accent6" w:themeFillShade="BF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Н</w:t>
            </w:r>
          </w:p>
        </w:tc>
        <w:tc>
          <w:tcPr>
            <w:tcW w:w="378" w:type="pct"/>
            <w:shd w:val="clear" w:color="auto" w:fill="FFFFFF" w:themeFill="background1"/>
            <w:tcMar>
              <w:left w:w="28" w:type="dxa"/>
              <w:right w:w="28" w:type="dxa"/>
            </w:tcMar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ФИО</w:t>
            </w:r>
          </w:p>
        </w:tc>
      </w:tr>
      <w:tr w:rsidR="006041F7" w:rsidRPr="004C0D0A" w:rsidTr="006041F7">
        <w:trPr>
          <w:trHeight w:val="80"/>
          <w:jc w:val="center"/>
        </w:trPr>
        <w:tc>
          <w:tcPr>
            <w:tcW w:w="412" w:type="pct"/>
            <w:shd w:val="clear" w:color="000000" w:fill="FFFFFF"/>
            <w:tcMar>
              <w:left w:w="28" w:type="dxa"/>
              <w:right w:w="28" w:type="dxa"/>
            </w:tcMar>
          </w:tcPr>
          <w:p w:rsidR="006041F7" w:rsidRPr="004C0D0A" w:rsidRDefault="006041F7" w:rsidP="000202DD">
            <w:pPr>
              <w:tabs>
                <w:tab w:val="left" w:pos="851"/>
              </w:tabs>
              <w:contextualSpacing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…</w:t>
            </w:r>
          </w:p>
        </w:tc>
        <w:tc>
          <w:tcPr>
            <w:tcW w:w="574" w:type="pct"/>
            <w:shd w:val="clear" w:color="000000" w:fill="FFFFFF"/>
            <w:noWrap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…</w:t>
            </w:r>
          </w:p>
        </w:tc>
        <w:tc>
          <w:tcPr>
            <w:tcW w:w="1026" w:type="pct"/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rPr>
                <w:rFonts w:cs="Arial"/>
                <w:i/>
                <w:sz w:val="14"/>
                <w:szCs w:val="14"/>
              </w:rPr>
            </w:pPr>
            <w:r w:rsidRPr="004C0D0A">
              <w:rPr>
                <w:rFonts w:cs="Arial"/>
                <w:i/>
                <w:sz w:val="14"/>
                <w:szCs w:val="14"/>
              </w:rPr>
              <w:t>…</w:t>
            </w:r>
          </w:p>
        </w:tc>
        <w:tc>
          <w:tcPr>
            <w:tcW w:w="400" w:type="pct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…</w:t>
            </w:r>
          </w:p>
        </w:tc>
        <w:tc>
          <w:tcPr>
            <w:tcW w:w="317" w:type="pct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…</w:t>
            </w:r>
          </w:p>
        </w:tc>
        <w:tc>
          <w:tcPr>
            <w:tcW w:w="367" w:type="pct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…</w:t>
            </w:r>
          </w:p>
        </w:tc>
        <w:tc>
          <w:tcPr>
            <w:tcW w:w="340" w:type="pct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…</w:t>
            </w:r>
          </w:p>
        </w:tc>
        <w:tc>
          <w:tcPr>
            <w:tcW w:w="24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…</w:t>
            </w:r>
          </w:p>
        </w:tc>
        <w:tc>
          <w:tcPr>
            <w:tcW w:w="24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…</w:t>
            </w:r>
          </w:p>
        </w:tc>
        <w:tc>
          <w:tcPr>
            <w:tcW w:w="24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…</w:t>
            </w:r>
          </w:p>
        </w:tc>
        <w:tc>
          <w:tcPr>
            <w:tcW w:w="444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…</w:t>
            </w:r>
          </w:p>
        </w:tc>
        <w:tc>
          <w:tcPr>
            <w:tcW w:w="378" w:type="pct"/>
            <w:shd w:val="clear" w:color="auto" w:fill="FFFFFF" w:themeFill="background1"/>
            <w:tcMar>
              <w:left w:w="28" w:type="dxa"/>
              <w:right w:w="28" w:type="dxa"/>
            </w:tcMar>
          </w:tcPr>
          <w:p w:rsidR="006041F7" w:rsidRPr="004C0D0A" w:rsidRDefault="006041F7" w:rsidP="000202DD">
            <w:pPr>
              <w:contextualSpacing/>
              <w:jc w:val="center"/>
              <w:rPr>
                <w:rFonts w:cs="Arial"/>
                <w:i/>
                <w:color w:val="000000"/>
                <w:sz w:val="14"/>
                <w:szCs w:val="14"/>
              </w:rPr>
            </w:pPr>
            <w:r w:rsidRPr="004C0D0A">
              <w:rPr>
                <w:rFonts w:cs="Arial"/>
                <w:i/>
                <w:color w:val="000000"/>
                <w:sz w:val="14"/>
                <w:szCs w:val="14"/>
              </w:rPr>
              <w:t>…</w:t>
            </w:r>
          </w:p>
        </w:tc>
      </w:tr>
    </w:tbl>
    <w:p w:rsidR="006041F7" w:rsidRPr="00A509A6" w:rsidRDefault="006041F7" w:rsidP="006041F7">
      <w:pPr>
        <w:rPr>
          <w:rFonts w:cs="Tahoma"/>
          <w:sz w:val="10"/>
          <w:szCs w:val="10"/>
        </w:rPr>
      </w:pPr>
    </w:p>
    <w:p w:rsidR="006041F7" w:rsidRPr="004C0D0A" w:rsidRDefault="006041F7" w:rsidP="006041F7">
      <w:pPr>
        <w:contextualSpacing/>
        <w:rPr>
          <w:rFonts w:cs="Tahoma"/>
          <w:szCs w:val="20"/>
        </w:rPr>
      </w:pPr>
      <w:r w:rsidRPr="004C0D0A">
        <w:rPr>
          <w:rFonts w:cs="Tahoma"/>
          <w:szCs w:val="20"/>
        </w:rPr>
        <w:t>2.2</w:t>
      </w:r>
      <w:r w:rsidRPr="004C0D0A">
        <w:rPr>
          <w:rFonts w:cs="Tahoma"/>
          <w:szCs w:val="20"/>
        </w:rPr>
        <w:tab/>
        <w:t>Наименование информационной системы 2</w:t>
      </w:r>
    </w:p>
    <w:p w:rsidR="006041F7" w:rsidRPr="00D7489F" w:rsidRDefault="006041F7" w:rsidP="006041F7">
      <w:pPr>
        <w:rPr>
          <w:rFonts w:cs="Tahoma"/>
          <w:sz w:val="20"/>
          <w:szCs w:val="20"/>
        </w:rPr>
      </w:pPr>
      <w:r w:rsidRPr="00D7489F">
        <w:rPr>
          <w:rFonts w:cs="Tahoma"/>
          <w:sz w:val="20"/>
          <w:szCs w:val="20"/>
        </w:rPr>
        <w:t>…</w:t>
      </w:r>
    </w:p>
    <w:p w:rsidR="006041F7" w:rsidRDefault="006041F7" w:rsidP="006041F7">
      <w:pPr>
        <w:pStyle w:val="11"/>
      </w:pPr>
      <w:r w:rsidRPr="00D7489F">
        <w:t>Приложение 1. Типы вторичных информационных активов</w:t>
      </w:r>
    </w:p>
    <w:tbl>
      <w:tblPr>
        <w:tblW w:w="49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1"/>
        <w:gridCol w:w="3042"/>
        <w:gridCol w:w="5731"/>
      </w:tblGrid>
      <w:tr w:rsidR="006041F7" w:rsidRPr="00D7489F" w:rsidTr="000202DD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:rsidR="006041F7" w:rsidRPr="00D16919" w:rsidRDefault="006041F7" w:rsidP="006041F7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D16919">
              <w:rPr>
                <w:b/>
                <w:sz w:val="20"/>
                <w:szCs w:val="20"/>
              </w:rPr>
              <w:t xml:space="preserve">№ </w:t>
            </w:r>
            <w:bookmarkStart w:id="0" w:name="_GoBack"/>
            <w:bookmarkEnd w:id="0"/>
          </w:p>
        </w:tc>
        <w:tc>
          <w:tcPr>
            <w:tcW w:w="4295" w:type="dxa"/>
            <w:shd w:val="clear" w:color="auto" w:fill="auto"/>
            <w:vAlign w:val="center"/>
          </w:tcPr>
          <w:p w:rsidR="006041F7" w:rsidRPr="00D16919" w:rsidRDefault="006041F7" w:rsidP="000202D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D16919">
              <w:rPr>
                <w:b/>
                <w:sz w:val="20"/>
                <w:szCs w:val="20"/>
              </w:rPr>
              <w:t>Наименование типа вторичного актива</w:t>
            </w:r>
          </w:p>
        </w:tc>
        <w:tc>
          <w:tcPr>
            <w:tcW w:w="9592" w:type="dxa"/>
            <w:shd w:val="clear" w:color="auto" w:fill="auto"/>
            <w:vAlign w:val="center"/>
          </w:tcPr>
          <w:p w:rsidR="006041F7" w:rsidRPr="00D16919" w:rsidRDefault="006041F7" w:rsidP="000202D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D16919">
              <w:rPr>
                <w:b/>
                <w:sz w:val="20"/>
                <w:szCs w:val="20"/>
              </w:rPr>
              <w:t>Описание</w:t>
            </w:r>
          </w:p>
        </w:tc>
      </w:tr>
      <w:tr w:rsidR="006041F7" w:rsidRPr="00D7489F" w:rsidTr="000202DD">
        <w:trPr>
          <w:jc w:val="center"/>
        </w:trPr>
        <w:tc>
          <w:tcPr>
            <w:tcW w:w="562" w:type="dxa"/>
            <w:vAlign w:val="center"/>
          </w:tcPr>
          <w:p w:rsidR="006041F7" w:rsidRPr="00D7489F" w:rsidRDefault="006041F7" w:rsidP="000202DD">
            <w:pPr>
              <w:pStyle w:val="3"/>
              <w:tabs>
                <w:tab w:val="clear" w:pos="1134"/>
                <w:tab w:val="left" w:pos="360"/>
              </w:tabs>
              <w:spacing w:line="240" w:lineRule="auto"/>
              <w:ind w:left="360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95" w:type="dxa"/>
            <w:vAlign w:val="center"/>
          </w:tcPr>
          <w:p w:rsidR="006041F7" w:rsidRPr="00D7489F" w:rsidRDefault="006041F7" w:rsidP="000202DD">
            <w:pPr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Не</w:t>
            </w:r>
          </w:p>
        </w:tc>
        <w:tc>
          <w:tcPr>
            <w:tcW w:w="9592" w:type="dxa"/>
            <w:vAlign w:val="center"/>
          </w:tcPr>
          <w:p w:rsidR="006041F7" w:rsidRPr="00D7489F" w:rsidRDefault="006041F7" w:rsidP="000202DD">
            <w:pPr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</w:tbl>
    <w:p w:rsidR="006041F7" w:rsidRPr="00ED3006" w:rsidRDefault="006041F7" w:rsidP="006041F7">
      <w:pPr>
        <w:rPr>
          <w:rFonts w:cs="Tahoma"/>
          <w:sz w:val="10"/>
          <w:szCs w:val="10"/>
        </w:rPr>
      </w:pPr>
    </w:p>
    <w:p w:rsidR="006041F7" w:rsidRDefault="006041F7" w:rsidP="006041F7">
      <w:pPr>
        <w:pStyle w:val="11"/>
      </w:pPr>
      <w:r w:rsidRPr="00491412">
        <w:t>Приложение 2. Уязвимости</w:t>
      </w:r>
    </w:p>
    <w:tbl>
      <w:tblPr>
        <w:tblW w:w="492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4"/>
        <w:gridCol w:w="8501"/>
      </w:tblGrid>
      <w:tr w:rsidR="006041F7" w:rsidRPr="00491412" w:rsidTr="006041F7">
        <w:trPr>
          <w:tblHeader/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6041F7" w:rsidRPr="00D16919" w:rsidRDefault="006041F7" w:rsidP="006041F7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D16919">
              <w:rPr>
                <w:b/>
                <w:sz w:val="20"/>
                <w:szCs w:val="20"/>
              </w:rPr>
              <w:t xml:space="preserve">№ </w:t>
            </w:r>
          </w:p>
        </w:tc>
        <w:tc>
          <w:tcPr>
            <w:tcW w:w="8501" w:type="dxa"/>
            <w:shd w:val="clear" w:color="auto" w:fill="auto"/>
            <w:vAlign w:val="center"/>
          </w:tcPr>
          <w:p w:rsidR="006041F7" w:rsidRPr="00D16919" w:rsidRDefault="006041F7" w:rsidP="000202D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D16919">
              <w:rPr>
                <w:b/>
                <w:sz w:val="20"/>
                <w:szCs w:val="20"/>
              </w:rPr>
              <w:t>Описание уязвимости</w:t>
            </w:r>
          </w:p>
        </w:tc>
      </w:tr>
      <w:tr w:rsidR="006041F7" w:rsidRPr="00491412" w:rsidTr="006041F7">
        <w:trPr>
          <w:jc w:val="center"/>
        </w:trPr>
        <w:tc>
          <w:tcPr>
            <w:tcW w:w="704" w:type="dxa"/>
            <w:vAlign w:val="center"/>
          </w:tcPr>
          <w:p w:rsidR="006041F7" w:rsidRPr="00491412" w:rsidRDefault="006041F7" w:rsidP="000202DD">
            <w:pPr>
              <w:contextualSpacing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8501" w:type="dxa"/>
            <w:vAlign w:val="center"/>
          </w:tcPr>
          <w:p w:rsidR="006041F7" w:rsidRPr="00491412" w:rsidRDefault="006041F7" w:rsidP="000202DD">
            <w:pPr>
              <w:contextualSpacing/>
              <w:rPr>
                <w:rFonts w:cstheme="minorHAnsi"/>
                <w:sz w:val="20"/>
                <w:szCs w:val="20"/>
              </w:rPr>
            </w:pPr>
          </w:p>
        </w:tc>
      </w:tr>
    </w:tbl>
    <w:p w:rsidR="006041F7" w:rsidRPr="00ED3006" w:rsidRDefault="006041F7" w:rsidP="006041F7">
      <w:pPr>
        <w:rPr>
          <w:rFonts w:cs="Tahoma"/>
          <w:sz w:val="10"/>
          <w:szCs w:val="10"/>
        </w:rPr>
      </w:pPr>
    </w:p>
    <w:p w:rsidR="006041F7" w:rsidRDefault="006041F7" w:rsidP="006041F7">
      <w:pPr>
        <w:pStyle w:val="11"/>
      </w:pPr>
      <w:r w:rsidRPr="00D34CB2">
        <w:t>Приложение 3. Реализованные технические меры защиты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5"/>
        <w:gridCol w:w="4128"/>
        <w:gridCol w:w="4512"/>
      </w:tblGrid>
      <w:tr w:rsidR="006041F7" w:rsidRPr="00ED3006" w:rsidTr="000202DD">
        <w:trPr>
          <w:trHeight w:val="663"/>
          <w:tblHeader/>
        </w:trPr>
        <w:tc>
          <w:tcPr>
            <w:tcW w:w="937" w:type="dxa"/>
            <w:shd w:val="clear" w:color="auto" w:fill="auto"/>
            <w:vAlign w:val="center"/>
          </w:tcPr>
          <w:p w:rsidR="006041F7" w:rsidRPr="00D16919" w:rsidRDefault="006041F7" w:rsidP="000202D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D16919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6288" w:type="dxa"/>
            <w:shd w:val="clear" w:color="auto" w:fill="auto"/>
            <w:vAlign w:val="center"/>
          </w:tcPr>
          <w:p w:rsidR="006041F7" w:rsidRPr="00D16919" w:rsidRDefault="006041F7" w:rsidP="000202D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D16919">
              <w:rPr>
                <w:b/>
                <w:sz w:val="20"/>
                <w:szCs w:val="20"/>
              </w:rPr>
              <w:t xml:space="preserve">Наименование средства защиты или базового встроенного механизма защиты </w:t>
            </w:r>
          </w:p>
        </w:tc>
        <w:tc>
          <w:tcPr>
            <w:tcW w:w="7221" w:type="dxa"/>
            <w:shd w:val="clear" w:color="auto" w:fill="auto"/>
            <w:vAlign w:val="center"/>
          </w:tcPr>
          <w:p w:rsidR="006041F7" w:rsidRPr="00D16919" w:rsidRDefault="006041F7" w:rsidP="000202D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D16919">
              <w:rPr>
                <w:b/>
                <w:sz w:val="20"/>
                <w:szCs w:val="20"/>
              </w:rPr>
              <w:t>Назначение</w:t>
            </w:r>
          </w:p>
        </w:tc>
      </w:tr>
      <w:tr w:rsidR="006041F7" w:rsidRPr="00ED3006" w:rsidTr="000202DD">
        <w:tc>
          <w:tcPr>
            <w:tcW w:w="937" w:type="dxa"/>
            <w:vAlign w:val="center"/>
          </w:tcPr>
          <w:p w:rsidR="006041F7" w:rsidRPr="00ED3006" w:rsidRDefault="006041F7" w:rsidP="000202DD">
            <w:pPr>
              <w:tabs>
                <w:tab w:val="left" w:pos="851"/>
              </w:tabs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288" w:type="dxa"/>
            <w:vAlign w:val="center"/>
          </w:tcPr>
          <w:p w:rsidR="006041F7" w:rsidRPr="00ED3006" w:rsidRDefault="006041F7" w:rsidP="000202DD">
            <w:pPr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21" w:type="dxa"/>
            <w:vAlign w:val="center"/>
          </w:tcPr>
          <w:p w:rsidR="006041F7" w:rsidRPr="00ED3006" w:rsidRDefault="006041F7" w:rsidP="000202DD">
            <w:pPr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</w:tbl>
    <w:p w:rsidR="006041F7" w:rsidRDefault="006041F7" w:rsidP="006041F7">
      <w:pPr>
        <w:pStyle w:val="11"/>
      </w:pPr>
    </w:p>
    <w:p w:rsidR="006041F7" w:rsidRPr="00ED3006" w:rsidRDefault="006041F7" w:rsidP="006041F7">
      <w:pPr>
        <w:pStyle w:val="11"/>
      </w:pPr>
      <w:r w:rsidRPr="00ED3006">
        <w:t>Приложение 4. Реализованные организационные меры защиты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3"/>
        <w:gridCol w:w="4017"/>
        <w:gridCol w:w="4635"/>
      </w:tblGrid>
      <w:tr w:rsidR="006041F7" w:rsidRPr="00ED3006" w:rsidTr="006041F7">
        <w:trPr>
          <w:trHeight w:val="274"/>
          <w:tblHeader/>
        </w:trPr>
        <w:tc>
          <w:tcPr>
            <w:tcW w:w="937" w:type="dxa"/>
            <w:shd w:val="clear" w:color="auto" w:fill="auto"/>
            <w:vAlign w:val="center"/>
          </w:tcPr>
          <w:p w:rsidR="006041F7" w:rsidRPr="00D16919" w:rsidRDefault="006041F7" w:rsidP="000202D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D16919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6288" w:type="dxa"/>
            <w:shd w:val="clear" w:color="auto" w:fill="auto"/>
            <w:vAlign w:val="center"/>
          </w:tcPr>
          <w:p w:rsidR="006041F7" w:rsidRPr="00D16919" w:rsidRDefault="006041F7" w:rsidP="000202D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D16919">
              <w:rPr>
                <w:b/>
                <w:sz w:val="20"/>
                <w:szCs w:val="20"/>
              </w:rPr>
              <w:t xml:space="preserve">Наименование документа </w:t>
            </w:r>
          </w:p>
        </w:tc>
        <w:tc>
          <w:tcPr>
            <w:tcW w:w="7221" w:type="dxa"/>
            <w:shd w:val="clear" w:color="auto" w:fill="auto"/>
            <w:vAlign w:val="center"/>
          </w:tcPr>
          <w:p w:rsidR="006041F7" w:rsidRPr="00D16919" w:rsidRDefault="006041F7" w:rsidP="000202DD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D16919">
              <w:rPr>
                <w:b/>
                <w:sz w:val="20"/>
                <w:szCs w:val="20"/>
              </w:rPr>
              <w:t>Процесс, который регламентируется</w:t>
            </w:r>
          </w:p>
        </w:tc>
      </w:tr>
      <w:tr w:rsidR="006041F7" w:rsidRPr="00ED3006" w:rsidTr="000202DD">
        <w:tc>
          <w:tcPr>
            <w:tcW w:w="937" w:type="dxa"/>
            <w:vAlign w:val="center"/>
          </w:tcPr>
          <w:p w:rsidR="006041F7" w:rsidRPr="00ED3006" w:rsidRDefault="006041F7" w:rsidP="000202DD">
            <w:pPr>
              <w:tabs>
                <w:tab w:val="left" w:pos="851"/>
              </w:tabs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288" w:type="dxa"/>
            <w:vAlign w:val="center"/>
          </w:tcPr>
          <w:p w:rsidR="006041F7" w:rsidRPr="00ED3006" w:rsidRDefault="006041F7" w:rsidP="000202DD">
            <w:pPr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7221" w:type="dxa"/>
            <w:vAlign w:val="center"/>
          </w:tcPr>
          <w:p w:rsidR="006041F7" w:rsidRPr="00ED3006" w:rsidRDefault="006041F7" w:rsidP="000202DD">
            <w:pPr>
              <w:contextualSpacing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</w:tbl>
    <w:p w:rsidR="006041F7" w:rsidRDefault="006041F7"/>
    <w:sectPr w:rsidR="00604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42790"/>
    <w:multiLevelType w:val="hybridMultilevel"/>
    <w:tmpl w:val="EDB85110"/>
    <w:lvl w:ilvl="0" w:tplc="C5980F7A">
      <w:start w:val="1"/>
      <w:numFmt w:val="decimal"/>
      <w:lvlText w:val="Р-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F7"/>
    <w:rsid w:val="0060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0E68B-5435-4041-8E65-2165D7B1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1F7"/>
  </w:style>
  <w:style w:type="paragraph" w:styleId="1">
    <w:name w:val="heading 1"/>
    <w:basedOn w:val="a"/>
    <w:next w:val="a"/>
    <w:link w:val="10"/>
    <w:uiPriority w:val="9"/>
    <w:qFormat/>
    <w:rsid w:val="00604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aliases w:val="SL_Абзац списка"/>
    <w:basedOn w:val="a"/>
    <w:link w:val="a4"/>
    <w:uiPriority w:val="34"/>
    <w:qFormat/>
    <w:rsid w:val="006041F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041F7"/>
    <w:pPr>
      <w:spacing w:after="100"/>
    </w:pPr>
    <w:rPr>
      <w:b/>
    </w:rPr>
  </w:style>
  <w:style w:type="character" w:customStyle="1" w:styleId="a4">
    <w:name w:val="Абзац списка Знак"/>
    <w:aliases w:val="SL_Абзац списка Знак"/>
    <w:link w:val="a3"/>
    <w:uiPriority w:val="34"/>
    <w:rsid w:val="006041F7"/>
  </w:style>
  <w:style w:type="paragraph" w:customStyle="1" w:styleId="3">
    <w:name w:val="АРМЗ_3ий уровень"/>
    <w:basedOn w:val="a"/>
    <w:uiPriority w:val="99"/>
    <w:rsid w:val="006041F7"/>
    <w:pPr>
      <w:tabs>
        <w:tab w:val="left" w:pos="1134"/>
      </w:tabs>
      <w:spacing w:after="0" w:line="360" w:lineRule="auto"/>
      <w:jc w:val="both"/>
      <w:outlineLvl w:val="1"/>
    </w:pPr>
    <w:rPr>
      <w:rFonts w:ascii="Times New Roman" w:eastAsia="Times New Roman" w:hAnsi="Times New Roman" w:cs="Arial"/>
      <w:iCs/>
      <w:kern w:val="32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v.aksionov</dc:creator>
  <cp:keywords/>
  <dc:description/>
  <cp:lastModifiedBy>v.aksionov</cp:lastModifiedBy>
  <cp:revision>1</cp:revision>
  <dcterms:created xsi:type="dcterms:W3CDTF">2019-06-07T05:57:00Z</dcterms:created>
  <dcterms:modified xsi:type="dcterms:W3CDTF">2019-06-07T05:59:00Z</dcterms:modified>
</cp:coreProperties>
</file>