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-2095499</wp:posOffset>
                </wp:positionH>
                <wp:positionV relativeFrom="paragraph">
                  <wp:posOffset>-914399</wp:posOffset>
                </wp:positionV>
                <wp:extent cx="8482330" cy="1008126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109598" y="0"/>
                          <a:ext cx="8472805" cy="7560000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-2095499</wp:posOffset>
                </wp:positionH>
                <wp:positionV relativeFrom="paragraph">
                  <wp:posOffset>-914399</wp:posOffset>
                </wp:positionV>
                <wp:extent cx="8482330" cy="10081260"/>
                <wp:effectExtent b="0" l="0" r="0" t="0"/>
                <wp:wrapSquare wrapText="bothSides" distB="0" distT="0" distL="0" distR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2330" cy="10081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-776604</wp:posOffset>
            </wp:positionV>
            <wp:extent cx="1133475" cy="1105535"/>
            <wp:effectExtent b="0" l="0" r="0" t="0"/>
            <wp:wrapSquare wrapText="bothSides" distB="0" distT="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5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177800</wp:posOffset>
                </wp:positionV>
                <wp:extent cx="546735" cy="14097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7395" y="3714278"/>
                          <a:ext cx="53721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177800</wp:posOffset>
                </wp:positionV>
                <wp:extent cx="546735" cy="140970"/>
                <wp:effectExtent b="0" l="0" r="0" t="0"/>
                <wp:wrapSquare wrapText="bothSides" distB="0" distT="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21.0" w:type="dxa"/>
        <w:jc w:val="left"/>
        <w:tblInd w:w="0.0" w:type="dxa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1260"/>
        <w:gridCol w:w="3661"/>
        <w:tblGridChange w:id="0">
          <w:tblGrid>
            <w:gridCol w:w="1260"/>
            <w:gridCol w:w="3661"/>
          </w:tblGrid>
        </w:tblGridChange>
      </w:tblGrid>
      <w:tr>
        <w:trPr>
          <w:trHeight w:val="300" w:hRule="atLeast"/>
        </w:trPr>
        <w:tc>
          <w:tcPr>
            <w:tcBorders>
              <w:bottom w:color="9cc2e5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bottom w:color="9cc2e5" w:space="0" w:sz="12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" w:cs="Times" w:eastAsia="Times" w:hAnsi="Times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  <w:rtl w:val="0"/>
              </w:rPr>
              <w:t xml:space="preserve">Referência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  <w:rtl w:val="0"/>
              </w:rPr>
              <w:t xml:space="preserve">Versão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  <w:rtl w:val="0"/>
              </w:rPr>
              <w:t xml:space="preserve">1.00</w:t>
            </w:r>
          </w:p>
        </w:tc>
      </w:tr>
      <w:tr>
        <w:trPr>
          <w:trHeight w:val="300" w:hRule="atLeast"/>
        </w:trPr>
        <w:tc>
          <w:tcPr>
            <w:tcBorders>
              <w:top w:color="9cc2e5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4"/>
                <w:szCs w:val="24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9cc2e5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" w:cs="Times" w:eastAsia="Times" w:hAnsi="Times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2717800</wp:posOffset>
                </wp:positionV>
                <wp:extent cx="3383280" cy="135191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59123" y="3108805"/>
                          <a:ext cx="337375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2717800</wp:posOffset>
                </wp:positionV>
                <wp:extent cx="3383280" cy="1351915"/>
                <wp:effectExtent b="0" l="0" r="0" t="0"/>
                <wp:wrapSquare wrapText="bothSides" distB="0" distT="0" distL="114300" distR="11430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280" cy="1351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vertAlign w:val="baseline"/>
        </w:rPr>
        <w:sectPr>
          <w:headerReference r:id="rId11" w:type="default"/>
          <w:footerReference r:id="rId12" w:type="default"/>
          <w:footerReference r:id="rId13" w:type="even"/>
          <w:pgSz w:h="15840" w:w="12240"/>
          <w:pgMar w:bottom="1440" w:top="1440" w:left="1440" w:right="1440" w:header="284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" w:cs="Times" w:eastAsia="Times" w:hAnsi="Times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pno96ie0jh7"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Enquadramento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_jpno96ie0jh7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sz w:val="24"/>
              <w:szCs w:val="24"/>
            </w:rPr>
          </w:pPr>
          <w:hyperlink w:anchor="_z9aajwsr3de4"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Subscrever uma API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_z9aajwsr3de4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" w:cs="Times" w:eastAsia="Times" w:hAnsi="Times"/>
              <w:sz w:val="24"/>
              <w:szCs w:val="24"/>
            </w:rPr>
          </w:pPr>
          <w:hyperlink w:anchor="_ay99j472a3po"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Chamar um API usando o Console de API integrado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_ay99j472a3po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" w:cs="Times" w:eastAsia="Times" w:hAnsi="Times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" w:cs="Times" w:eastAsia="Times" w:hAnsi="Times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" w:cs="Times" w:eastAsia="Times" w:hAnsi="Times"/>
          <w:smallCaps w:val="0"/>
          <w:color w:val="3333ff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4"/>
          <w:szCs w:val="24"/>
        </w:rPr>
      </w:pPr>
      <w:bookmarkStart w:colFirst="0" w:colLast="0" w:name="_ypt081d3xka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4"/>
          <w:szCs w:val="24"/>
        </w:rPr>
      </w:pPr>
      <w:bookmarkStart w:colFirst="0" w:colLast="0" w:name="_s3q2qruvetb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4"/>
          <w:szCs w:val="24"/>
        </w:rPr>
      </w:pPr>
      <w:bookmarkStart w:colFirst="0" w:colLast="0" w:name="_vgliarxgw2n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4"/>
          <w:szCs w:val="24"/>
        </w:rPr>
      </w:pPr>
      <w:bookmarkStart w:colFirst="0" w:colLast="0" w:name="_u1nd9inkgw7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4"/>
          <w:szCs w:val="24"/>
        </w:rPr>
      </w:pPr>
      <w:bookmarkStart w:colFirst="0" w:colLast="0" w:name="_5oll6vv5idc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432" w:hanging="432"/>
        <w:rPr>
          <w:rFonts w:ascii="Times" w:cs="Times" w:eastAsia="Times" w:hAnsi="Times"/>
          <w:smallCaps w:val="0"/>
        </w:rPr>
      </w:pPr>
      <w:bookmarkStart w:colFirst="0" w:colLast="0" w:name="_jpno96ie0jh7" w:id="7"/>
      <w:bookmarkEnd w:id="7"/>
      <w:r w:rsidDel="00000000" w:rsidR="00000000" w:rsidRPr="00000000">
        <w:rPr>
          <w:rFonts w:ascii="Times" w:cs="Times" w:eastAsia="Times" w:hAnsi="Times"/>
          <w:smallCaps w:val="0"/>
          <w:vertAlign w:val="baseline"/>
          <w:rtl w:val="0"/>
        </w:rPr>
        <w:t xml:space="preserve">Enquadramento 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4"/>
          <w:szCs w:val="24"/>
        </w:rPr>
      </w:pPr>
      <w:bookmarkStart w:colFirst="0" w:colLast="0" w:name="_3znysh7" w:id="8"/>
      <w:bookmarkEnd w:id="8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Loja de API PDEX é um aplicativo Web que hospeda APIs publicadas. Ele fornece uma GUI estruturada, projetada para que os consumidores e parceiros da API se registrem para encontrar, explorar, assinar e avaliar os recursos disponíveis.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4"/>
          <w:szCs w:val="24"/>
        </w:rPr>
      </w:pPr>
      <w:bookmarkStart w:colFirst="0" w:colLast="0" w:name="_d7wrrllsacsj" w:id="9"/>
      <w:bookmarkEnd w:id="9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loja de APIs PDEX pode-se dizer que é o local onde a colaboração e a interação entre possíveis consumidores da API e provedores de API acontecem. Com seus canais de assinatura e colaboração sob demanda, de autoatendimento, o Armazenamento de APIs da WSO2 reduz significativamente o tempo e o esforço normalmente necessários ao avaliar recursos de API autenticados, seguros, protegidos e de nível empresarial.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4"/>
          <w:szCs w:val="24"/>
        </w:rPr>
      </w:pPr>
      <w:bookmarkStart w:colFirst="0" w:colLast="0" w:name="_4hytrrblsvr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ind w:left="432" w:hanging="432"/>
        <w:rPr>
          <w:rFonts w:ascii="Times" w:cs="Times" w:eastAsia="Times" w:hAnsi="Times"/>
          <w:smallCaps w:val="0"/>
        </w:rPr>
      </w:pPr>
      <w:bookmarkStart w:colFirst="0" w:colLast="0" w:name="_z9aajwsr3de4" w:id="11"/>
      <w:bookmarkEnd w:id="11"/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Subscrever</w:t>
      </w:r>
      <w:r w:rsidDel="00000000" w:rsidR="00000000" w:rsidRPr="00000000">
        <w:rPr>
          <w:rFonts w:ascii="Times" w:cs="Times" w:eastAsia="Times" w:hAnsi="Times"/>
          <w:smallCaps w:val="0"/>
          <w:vertAlign w:val="baseline"/>
          <w:rtl w:val="0"/>
        </w:rPr>
        <w:t xml:space="preserve"> uma API</w:t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Você se inscreve em uma API publicada antes de usá-la em seus aplicativos. 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inscrição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permite que você receba tokens de acesso e seja autenticado para invocar a API.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Entre no WSO2 API Store ( </w:t>
      </w:r>
      <w:hyperlink r:id="rId14">
        <w:r w:rsidDel="00000000" w:rsidR="00000000" w:rsidRPr="00000000">
          <w:rPr>
            <w:rFonts w:ascii="Times" w:cs="Times" w:eastAsia="Times" w:hAnsi="Times"/>
            <w:color w:val="0000ff"/>
            <w:sz w:val="24"/>
            <w:szCs w:val="24"/>
            <w:u w:val="single"/>
            <w:vertAlign w:val="baseline"/>
            <w:rtl w:val="0"/>
          </w:rPr>
          <w:t xml:space="preserve">https://host:9443/store/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86400" cy="1672272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Para ter acesso a diferentes funcionalidades de uma API deve-se inscrever.</w:t>
      </w:r>
    </w:p>
    <w:p w:rsidR="00000000" w:rsidDel="00000000" w:rsidP="00000000" w:rsidRDefault="00000000" w:rsidRPr="00000000" w14:paraId="00000035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248275" cy="2669295"/>
            <wp:effectExtent b="0" l="0" r="0" t="0"/>
            <wp:docPr descr="Capturar4" id="5" name="image20.png"/>
            <a:graphic>
              <a:graphicData uri="http://schemas.openxmlformats.org/drawingml/2006/picture">
                <pic:pic>
                  <pic:nvPicPr>
                    <pic:cNvPr descr="Capturar4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6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 exemplo aqui utilizado CheckID.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em uma API (por exemplo, CheckID 1.0.0) para abri-lo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Observe as opções de assinatura para a API REST.</w:t>
      </w:r>
    </w:p>
    <w:p w:rsidR="00000000" w:rsidDel="00000000" w:rsidP="00000000" w:rsidRDefault="00000000" w:rsidRPr="00000000" w14:paraId="00000039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694680" cy="1740535"/>
            <wp:effectExtent b="0" l="0" r="0" t="0"/>
            <wp:docPr descr="Capturar" id="7" name="image22.png"/>
            <a:graphic>
              <a:graphicData uri="http://schemas.openxmlformats.org/drawingml/2006/picture">
                <pic:pic>
                  <pic:nvPicPr>
                    <pic:cNvPr descr="Capturar"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7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no menu Aplicativos e clique em Adicionar aplicativo para criar um novo aplicativo.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807075" cy="2458085"/>
            <wp:effectExtent b="0" l="0" r="0" t="0"/>
            <wp:docPr descr="Capturar" id="6" name="image21.png"/>
            <a:graphic>
              <a:graphicData uri="http://schemas.openxmlformats.org/drawingml/2006/picture">
                <pic:pic>
                  <pic:nvPicPr>
                    <pic:cNvPr descr="Capturar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Digite o nome como Teste e selecione a quota por token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exemplo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50PerMin para o aplicativo e clique em Adicionar.</w:t>
      </w:r>
    </w:p>
    <w:p w:rsidR="00000000" w:rsidDel="00000000" w:rsidP="00000000" w:rsidRDefault="00000000" w:rsidRPr="00000000" w14:paraId="00000045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935980" cy="2997200"/>
            <wp:effectExtent b="0" l="0" r="0" t="0"/>
            <wp:docPr descr="Capturar3" id="9" name="image24.png"/>
            <a:graphic>
              <a:graphicData uri="http://schemas.openxmlformats.org/drawingml/2006/picture">
                <pic:pic>
                  <pic:nvPicPr>
                    <pic:cNvPr descr="Capturar3"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em APIs e clique na API CheckID para visualizar as opções de assinatura da API.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Selecione o aplicativo que você acabou de criar, uma camada e clique em Inscrever.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940425" cy="1907540"/>
            <wp:effectExtent b="0" l="0" r="0" t="0"/>
            <wp:docPr descr="Capturar" id="8" name="image23.png"/>
            <a:graphic>
              <a:graphicData uri="http://schemas.openxmlformats.org/drawingml/2006/picture">
                <pic:pic>
                  <pic:nvPicPr>
                    <pic:cNvPr descr="Capturar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Obs: A camada de limitação permite limitar o número de acessos a uma API durante um determinado período de tempo, normalmente em casos como os seguintes: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Para proteger suas APIs de tipos comuns de ataques de segurança, como negação de serviço (DOS)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Para regular o tráfego de acordo com a disponibilidade da infraestrutura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Para tornar uma API, aplicativo ou recurso disponível para um consumidor em diferentes níveis de serviço, geralmente para fins de monetização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 API Manager vem com três camadas padrão como ouro, prata e bronze. Cada camada define um número máximo de solicitações por minuto.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Bronze - permite 1 pedido para a API por minuto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Prata: permite 5 solicitações para a API por minuto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Ouro: permite 20 solicitações para a API por minuto</w:t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Além disso, há também uma camada especial chamada Unlimited, que permite acesso ilimitado.</w:t>
      </w:r>
    </w:p>
    <w:p w:rsidR="00000000" w:rsidDel="00000000" w:rsidP="00000000" w:rsidRDefault="00000000" w:rsidRPr="00000000" w14:paraId="00000053">
      <w:pPr>
        <w:ind w:left="72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no botão View Subscriptions quando solicitado.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na   guia Chaves de produção</w:t>
      </w:r>
    </w:p>
    <w:p w:rsidR="00000000" w:rsidDel="00000000" w:rsidP="00000000" w:rsidRDefault="00000000" w:rsidRPr="00000000" w14:paraId="00000056">
      <w:pPr>
        <w:ind w:left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477510" cy="3110865"/>
            <wp:effectExtent b="0" l="0" r="0" t="0"/>
            <wp:docPr descr="Capturar1" id="11" name="image26.png"/>
            <a:graphic>
              <a:graphicData uri="http://schemas.openxmlformats.org/drawingml/2006/picture">
                <pic:pic>
                  <pic:nvPicPr>
                    <pic:cNvPr descr="Capturar1"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11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Clique em Gerar Chaves para criar um token de acesso ao aplicativo. Você pode usar esse token para invocar todas as APIs que você assina usando o mesmo aplicativo.</w:t>
      </w:r>
    </w:p>
    <w:p w:rsidR="00000000" w:rsidDel="00000000" w:rsidP="00000000" w:rsidRDefault="00000000" w:rsidRPr="00000000" w14:paraId="0000005A">
      <w:pPr>
        <w:ind w:left="72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Os usuários precisam de tokens de acesso para chamar APIs inscritas em um aplicativo. Os tokens de acesso são passados ​​no cabeçalho HTTP quando invocam APIs. O Gerenciador de API fornece uma API de token que você pode usar para gerar e renovar tokens de acesso a usuários e aplicativos. A resposta da API do Token é uma mensagem JSON. Você extrai o token do JSON e passa-o com um cabeçalho de autorização HTTP para acessar a API. Os tokens de acesso do usuário têm um tempo de expiração fixo, que é definido como 60 minutos por padrão.</w:t>
      </w:r>
    </w:p>
    <w:p w:rsidR="00000000" w:rsidDel="00000000" w:rsidP="00000000" w:rsidRDefault="00000000" w:rsidRPr="00000000" w14:paraId="0000005B">
      <w:pPr>
        <w:ind w:left="144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nstale o cURL, se ainda não estiver instalado. </w:t>
      </w:r>
    </w:p>
    <w:p w:rsidR="00000000" w:rsidDel="00000000" w:rsidP="00000000" w:rsidRDefault="00000000" w:rsidRPr="00000000" w14:paraId="0000005D">
      <w:pPr>
        <w:ind w:left="72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vertAlign w:val="baseline"/>
          <w:rtl w:val="0"/>
        </w:rPr>
        <w:t xml:space="preserve">Obs: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O cURL vem por padrão em alguns sistemas operacionais. Você também pode usar um cliente REST.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vertAlign w:val="baseline"/>
          <w:rtl w:val="0"/>
        </w:rPr>
        <w:t xml:space="preserve">Abra a linha de comando e execute o seguinte comando cURL: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80"/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vertAlign w:val="baseline"/>
          <w:rtl w:val="0"/>
        </w:rPr>
        <w:t xml:space="preserve">curl -k -H "Authorization: Bearer &lt;access_token&gt;"</w:t>
      </w:r>
      <w:r w:rsidDel="00000000" w:rsidR="00000000" w:rsidRPr="00000000">
        <w:rPr>
          <w:rFonts w:ascii="Times" w:cs="Times" w:eastAsia="Times" w:hAnsi="Times"/>
          <w:b w:val="1"/>
          <w:i w:val="1"/>
          <w:color w:val="333333"/>
          <w:sz w:val="24"/>
          <w:szCs w:val="24"/>
          <w:shd w:fill="ebedef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vertAlign w:val="baseline"/>
          <w:rtl w:val="0"/>
        </w:rPr>
        <w:t xml:space="preserve">-v '&lt;api_url&gt;'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Da mesma forma, invoque o método POST usando o seguinte comando cURL:</w:t>
      </w:r>
    </w:p>
    <w:p w:rsidR="00000000" w:rsidDel="00000000" w:rsidP="00000000" w:rsidRDefault="00000000" w:rsidRPr="00000000" w14:paraId="00000062">
      <w:pPr>
        <w:ind w:left="720"/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vertAlign w:val="baseline"/>
          <w:rtl w:val="0"/>
        </w:rPr>
        <w:t xml:space="preserve">Curl -k -H "Authorization :Bearer&lt;access token&gt;" –data "PhoneNumber=&lt;phone_number&gt;&amp; LicenseKey=&lt;license_key&gt;"&lt;api_url&gt;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/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Para cancelar a assinatura de uma API , clique no menu Aplicativos e clique em Visualizar ao lado do aplicativo usado para a assinatura. Vá para a guia Assinaturas, localize a API e clique no link cancelar inscrição associado a ela.</w:t>
      </w:r>
    </w:p>
    <w:p w:rsidR="00000000" w:rsidDel="00000000" w:rsidP="00000000" w:rsidRDefault="00000000" w:rsidRPr="00000000" w14:paraId="00000065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166995" cy="2150110"/>
            <wp:effectExtent b="0" l="0" r="0" t="0"/>
            <wp:docPr descr="Capturar5" id="10" name="image25.png"/>
            <a:graphic>
              <a:graphicData uri="http://schemas.openxmlformats.org/drawingml/2006/picture">
                <pic:pic>
                  <pic:nvPicPr>
                    <pic:cNvPr descr="Capturar5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5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vertAlign w:val="baseline"/>
          <w:rtl w:val="0"/>
        </w:rPr>
        <w:t xml:space="preserve">Obs: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vertAlign w:val="baseline"/>
          <w:rtl w:val="0"/>
        </w:rPr>
        <w:t xml:space="preserve"> Se você cancelar a inscrição em uma API e, em seguida, assinar novamente com uma camada diferente, levará aproximadamente 15 minutos para que a alteração da camada seja refletida. Isso ocorre porque o nível mais antigo permanece no cache até ser atualizado periodicamente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432" w:hanging="432"/>
        <w:rPr>
          <w:rFonts w:ascii="Times" w:cs="Times" w:eastAsia="Times" w:hAnsi="Times"/>
          <w:smallCaps w:val="0"/>
        </w:rPr>
      </w:pPr>
      <w:bookmarkStart w:colFirst="0" w:colLast="0" w:name="_ay99j472a3po" w:id="12"/>
      <w:bookmarkEnd w:id="12"/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Chamar </w:t>
      </w:r>
      <w:r w:rsidDel="00000000" w:rsidR="00000000" w:rsidRPr="00000000">
        <w:rPr>
          <w:rFonts w:ascii="Times" w:cs="Times" w:eastAsia="Times" w:hAnsi="Times"/>
          <w:smallCaps w:val="0"/>
          <w:vertAlign w:val="baseline"/>
          <w:rtl w:val="0"/>
        </w:rPr>
        <w:t xml:space="preserve">um API usando o Console de API integrado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 WSO2 API Manager (WSO2 API-M) possui uma interface Swagger integrada, que faz parte do projeto Swagger. 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 Swagger é uma especificação 100% aberta, padrão, independente de linguagem e uma estrutura completa para descrever, produzir, consumir e visualizar APIs REST, sem a necessidade de um proxy ou serviços de terceiros. O Swagger permite que os consumidores entendam os recursos de um serviço remoto sem acessar seu código-fonte e interajam com o serviço com uma quantidade mínima de lógica de implementação. O Swagger ajuda a descrever um serviço da mesma forma que as interfaces descrevem o código de programação de nível inferior. 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A interface do usuário do Swagger é uma coleção livre de dependência de HTML, JavaScript e CSS que gera dinamicamente a documentação de uma API compatível com Swagger. As APIs compatíveis com Swagger oferecem documentação interativa, geração de SDK do cliente e mais capacidade de descoberta. A UI do Swagger tem código JSON e sua interface facilita o recuo do código, o destaque de palavras-chave e mostra erros de sintaxe rapidamente. Você pode adicionar parâmetros, resumos e descrições de recursos às suas APIs usando a interface do usuário do Swagger.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baseline"/>
          <w:rtl w:val="0"/>
        </w:rPr>
        <w:t xml:space="preserve">Utilizamos </w:t>
      </w:r>
      <w:r w:rsidDel="00000000" w:rsidR="00000000" w:rsidRPr="00000000">
        <w:rPr>
          <w:rFonts w:ascii="Times" w:cs="Times" w:eastAsia="Times" w:hAnsi="Times"/>
          <w:b w:val="1"/>
          <w:color w:val="00b0f0"/>
          <w:sz w:val="28"/>
          <w:szCs w:val="28"/>
          <w:vertAlign w:val="baseline"/>
          <w:rtl w:val="0"/>
        </w:rPr>
        <w:t xml:space="preserve">SNIAC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baseline"/>
          <w:rtl w:val="0"/>
        </w:rPr>
        <w:t xml:space="preserve">como exemplo.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Entre no WSO2 API </w:t>
      </w:r>
      <w:r w:rsidDel="00000000" w:rsidR="00000000" w:rsidRPr="00000000">
        <w:rPr>
          <w:rFonts w:ascii="Times" w:cs="Times" w:eastAsia="Times" w:hAnsi="Times"/>
          <w:color w:val="00b0f0"/>
          <w:sz w:val="24"/>
          <w:szCs w:val="24"/>
          <w:vertAlign w:val="baseline"/>
          <w:rtl w:val="0"/>
        </w:rPr>
        <w:t xml:space="preserve">https://host:9443/store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e clique em uma API (por exemplo </w:t>
      </w:r>
      <w:r w:rsidDel="00000000" w:rsidR="00000000" w:rsidRPr="00000000">
        <w:rPr>
          <w:rFonts w:ascii="Times" w:cs="Times" w:eastAsia="Times" w:hAnsi="Times"/>
          <w:color w:val="00b0f0"/>
          <w:sz w:val="24"/>
          <w:szCs w:val="24"/>
          <w:vertAlign w:val="baseline"/>
          <w:rtl w:val="0"/>
        </w:rPr>
        <w:t xml:space="preserve">SNIAC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Assine a API (por exemplo, </w:t>
      </w:r>
      <w:r w:rsidDel="00000000" w:rsidR="00000000" w:rsidRPr="00000000">
        <w:rPr>
          <w:rFonts w:ascii="Times" w:cs="Times" w:eastAsia="Times" w:hAnsi="Times"/>
          <w:color w:val="00b0f0"/>
          <w:sz w:val="24"/>
          <w:szCs w:val="24"/>
          <w:vertAlign w:val="baseline"/>
          <w:rtl w:val="0"/>
        </w:rPr>
        <w:t xml:space="preserve">SNIAC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1.0.0) usando o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Xpto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e uma camada disponível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939790" cy="1274445"/>
            <wp:effectExtent b="0" l="0" r="0" t="0"/>
            <wp:docPr descr="Capturar5" id="15" name="image3.png"/>
            <a:graphic>
              <a:graphicData uri="http://schemas.openxmlformats.org/drawingml/2006/picture">
                <pic:pic>
                  <pic:nvPicPr>
                    <pic:cNvPr descr="Capturar5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No menu Aplicativos, abra o aplicativo padrão usado para assinar a API. Clique na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aba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Chaves de produção e clique em Gerar chaves para gerar uma chave de produção</w:t>
      </w:r>
    </w:p>
    <w:p w:rsidR="00000000" w:rsidDel="00000000" w:rsidP="00000000" w:rsidRDefault="00000000" w:rsidRPr="00000000" w14:paraId="00000076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687695" cy="2915920"/>
            <wp:effectExtent b="0" l="0" r="0" t="0"/>
            <wp:docPr descr="Capturar6" id="12" name="image10.png"/>
            <a:graphic>
              <a:graphicData uri="http://schemas.openxmlformats.org/drawingml/2006/picture">
                <pic:pic>
                  <pic:nvPicPr>
                    <pic:cNvPr descr="Capturar6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91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No   menu APIs, selecione a API que você deseja invocar. Quando a API abrir, acesse a   guia do Console da API. Se você se inscreveu em um aplicativo, o valor do token de acesso recuperado aparecerá automaticamente como o token de portador de autorização.</w:t>
      </w:r>
    </w:p>
    <w:p w:rsidR="00000000" w:rsidDel="00000000" w:rsidP="00000000" w:rsidRDefault="00000000" w:rsidRPr="00000000" w14:paraId="00000079">
      <w:pPr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644515" cy="2751455"/>
            <wp:effectExtent b="0" l="0" r="0" t="0"/>
            <wp:docPr descr="Capturar7" id="14" name="image18.png"/>
            <a:graphic>
              <a:graphicData uri="http://schemas.openxmlformats.org/drawingml/2006/picture">
                <pic:pic>
                  <pic:nvPicPr>
                    <pic:cNvPr descr="Capturar7"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75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Expanda o método POST e clique em Experimente. Forneça os parâmetros necessários e clique em Executar.  Por exemplo:</w:t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  <w:sz w:val="24"/>
          <w:szCs w:val="24"/>
          <w:vertAlign w:val="baseline"/>
        </w:rPr>
      </w:pPr>
      <w:bookmarkStart w:colFirst="0" w:colLast="0" w:name="_2s8eyo1" w:id="13"/>
      <w:bookmarkEnd w:id="13"/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</w:rPr>
        <w:drawing>
          <wp:inline distB="0" distT="0" distL="114300" distR="114300">
            <wp:extent cx="5946775" cy="3435985"/>
            <wp:effectExtent b="0" l="0" r="0" t="0"/>
            <wp:docPr descr="Capturar8" id="16" name="image17.png"/>
            <a:graphic>
              <a:graphicData uri="http://schemas.openxmlformats.org/drawingml/2006/picture">
                <pic:pic>
                  <pic:nvPicPr>
                    <pic:cNvPr descr="Capturar8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3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28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Times"/>
  <w:font w:name="Noto Sans Symbols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Núcleo Operacional para a Sociedade de Informação</w:t>
      <w:tab/>
      <w:t xml:space="preserve">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5b9bd5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719455" cy="242570"/>
          <wp:effectExtent b="0" l="0" r="0" t="0"/>
          <wp:docPr descr="NOSi-EPE" id="17" name="image16.png"/>
          <a:graphic>
            <a:graphicData uri="http://schemas.openxmlformats.org/drawingml/2006/picture">
              <pic:pic>
                <pic:nvPicPr>
                  <pic:cNvPr descr="NOSi-EPE"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455" cy="242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PDEX Store – Guia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 Utilizador 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5b9bd5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>
        <w:rFonts w:ascii="Times" w:cs="Times" w:eastAsia="Times" w:hAnsi="Times"/>
        <w:i w:val="1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Rule="auto"/>
      <w:ind w:left="432" w:hanging="432"/>
      <w:jc w:val="both"/>
    </w:pPr>
    <w:rPr>
      <w:rFonts w:ascii="Calibri" w:cs="Calibri" w:eastAsia="Calibri" w:hAnsi="Calibri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left="576" w:hanging="576"/>
      <w:jc w:val="both"/>
    </w:pPr>
    <w:rPr>
      <w:rFonts w:ascii="Calibri" w:cs="Calibri" w:eastAsia="Calibri" w:hAnsi="Calibri"/>
      <w:b w:val="1"/>
      <w:color w:val="000000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  <w:tab w:val="left" w:pos="1418"/>
        <w:tab w:val="left" w:pos="5040"/>
        <w:tab w:val="left" w:pos="5760"/>
        <w:tab w:val="left" w:pos="8640"/>
      </w:tabs>
      <w:spacing w:after="120" w:before="120" w:line="360" w:lineRule="auto"/>
      <w:ind w:left="849" w:hanging="720"/>
      <w:jc w:val="both"/>
    </w:pPr>
    <w:rPr>
      <w:rFonts w:ascii="Questrial" w:cs="Questrial" w:eastAsia="Questrial" w:hAnsi="Questrial"/>
      <w:b w:val="1"/>
      <w:smallCaps w:val="1"/>
      <w:color w:val="0000ff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jc w:val="both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jc w:val="both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jc w:val="both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before="120" w:lineRule="auto"/>
      <w:ind w:left="72" w:right="72"/>
      <w:jc w:val="center"/>
    </w:pPr>
    <w:rPr>
      <w:rFonts w:ascii="Questrial" w:cs="Questrial" w:eastAsia="Questrial" w:hAnsi="Questrial"/>
      <w:color w:val="ffffff"/>
      <w:sz w:val="96"/>
      <w:szCs w:val="96"/>
      <w:vertAlign w:val="baseline"/>
    </w:rPr>
  </w:style>
  <w:style w:type="paragraph" w:styleId="Subtitle">
    <w:name w:val="Subtitle"/>
    <w:basedOn w:val="Normal"/>
    <w:next w:val="Normal"/>
    <w:pPr>
      <w:spacing w:before="120" w:lineRule="auto"/>
      <w:jc w:val="both"/>
    </w:pPr>
    <w:rPr>
      <w:rFonts w:ascii="Calibri" w:cs="Calibri" w:eastAsia="Calibri" w:hAnsi="Calibri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6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7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6.png"/><Relationship Id="rId11" Type="http://schemas.openxmlformats.org/officeDocument/2006/relationships/header" Target="header1.xml"/><Relationship Id="rId10" Type="http://schemas.openxmlformats.org/officeDocument/2006/relationships/image" Target="media/image1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5" Type="http://schemas.openxmlformats.org/officeDocument/2006/relationships/image" Target="media/image19.png"/><Relationship Id="rId14" Type="http://schemas.openxmlformats.org/officeDocument/2006/relationships/hyperlink" Target="https://host:9443/store/" TargetMode="External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24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