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44"/>
          <w:szCs w:val="44"/>
        </w:rPr>
        <w:t xml:space="preserve">REQUERIMIENTO FUNCIONAL</w:t>
      </w:r>
    </w:p>
    <w:p>
      <w:pPr>
        <w:spacing w:after="200" w:before="200"/>
        <w:jc w:val="center"/>
      </w:pPr>
      <w:r>
        <w:rPr>
          <w:b/>
          <w:bCs/>
          <w:color w:val="2E5496"/>
          <w:sz w:val="32"/>
          <w:szCs w:val="32"/>
        </w:rPr>
        <w:t xml:space="preserve">Sistema Web de Proveedores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Plataforma de registro, consulta y flujo documentario de proveedores</w:t>
      </w:r>
    </w:p>
    <w:p>
      <w:pPr>
        <w:spacing w:before="800"/>
        <w:jc w:val="center"/>
      </w:pPr>
      <w:r>
        <w:rPr>
          <w:color w:val="555555"/>
          <w:sz w:val="21"/>
          <w:szCs w:val="21"/>
        </w:rPr>
        <w:t xml:space="preserve">Tecnologías: Angular (Frontend) · .NET (Backend)</w:t>
      </w:r>
    </w:p>
    <w:p>
      <w:pPr>
        <w:spacing w:before="800"/>
        <w:jc w:val="center"/>
      </w:pPr>
      <w:r>
        <w:rPr>
          <w:color w:val="888888"/>
          <w:sz w:val="20"/>
          <w:szCs w:val="20"/>
        </w:rPr>
        <w:t xml:space="preserve">Versión 1.0</w:t>
      </w:r>
    </w:p>
    <w:p>
      <w:pPr>
        <w:jc w:val="center"/>
      </w:pPr>
      <w:r>
        <w:rPr>
          <w:color w:val="888888"/>
          <w:sz w:val="20"/>
          <w:szCs w:val="20"/>
        </w:rPr>
        <w:t xml:space="preserve">Setiembre 2026</w:t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40" w:line="276"/>
        <w:jc w:val="both"/>
      </w:pPr>
      <w:r>
        <w:rPr>
          <w:i w:val="false"/>
          <w:iCs w:val="false"/>
          <w:sz w:val="21"/>
          <w:szCs w:val="21"/>
        </w:rPr>
        <w:t xml:space="preserve">El presente documento describe el requerimiento funcional para el desarrollo del Sistema Web de Proveedores, una plataforma que permitirá a los proveedores registrar comprobantes de pago y documentos asociados, así como realizar el seguimiento de órdenes de pago, estado de facturas y el flujo de aprobación de dichos documentos. El sistema se desarrollará bajo una arquitectura cliente-servidor, con un frontend construido en Angular y un backend construido en .NET, consumiendo servicios de validación de SUNAT y Sertica, e integrando almacenamiento de archivos en Blob Storage.</w:t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2. Objetivo del Sistema</w:t>
      </w:r>
    </w:p>
    <w:p>
      <w:pPr>
        <w:spacing w:after="140" w:line="276"/>
        <w:jc w:val="both"/>
      </w:pPr>
      <w:r>
        <w:rPr>
          <w:i w:val="false"/>
          <w:iCs w:val="false"/>
          <w:sz w:val="21"/>
          <w:szCs w:val="21"/>
        </w:rPr>
        <w:t xml:space="preserve">Brindar a los proveedores una plataforma web autoservicio para el registro y seguimiento de sus documentos (comprobantes, órdenes de compra y documentos especiales), automatizando la validación electrónica, la unificación de archivos, el registro contra los sistemas SAP/SUNAT/Sertica y el flujo de derivación, aprobación y rechazo entre las áreas internas responsables.</w:t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3. Alcance del Proyecto</w:t>
      </w:r>
    </w:p>
    <w:p>
      <w:pPr>
        <w:spacing w:after="140" w:line="276"/>
        <w:jc w:val="left"/>
      </w:pPr>
      <w:r>
        <w:rPr>
          <w:i w:val="false"/>
          <w:iCs w:val="false"/>
          <w:sz w:val="21"/>
          <w:szCs w:val="21"/>
        </w:rPr>
        <w:t xml:space="preserve">El alcance comprende el desarrollo full-stack (Angular + .NET) de los siguientes componentes: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Módulo de seguridad: autenticación JWT, registro, cambio de contraseña, cierre de sesión, gestión de roles y menú dinámico.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Módulo de consultas: listado de órdenes de pago, estado de facturas y proveedores, con filtros y paginación.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Módulo de perfil: visualización de información del usuario autenticado.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Módulo de registro de documentos: carga de archivos (PDF, XML, CDR), unificación de PDFs adicionales, selección de sociedad y tipo de documento (comprobante con orden de pago, comprobante sin orden de compra, documento especial).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Módulo de bandejas: gestión del flujo documentario por tipo de documento, con opciones de derivar, aprobar y rechazar (indicando motivo) y notificación por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Servicios backend de validación: formato del documento electrónico (XML), duplicidad, validación con SUNAT (servicio SAP) y con Sertica (servicio SAP), y registro final en SAP y base de datos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Almacenamiento y recuperación de archivos desde Blob Storage para descarga e impresión.</w:t>
      </w:r>
    </w:p>
    <w:p>
      <w:pPr>
        <w:spacing w:after="140" w:line="276"/>
        <w:jc w:val="left"/>
      </w:pPr>
      <w:r>
        <w:rPr>
          <w:i/>
          <w:iCs/>
          <w:sz w:val="21"/>
          <w:szCs w:val="21"/>
        </w:rPr>
        <w:t xml:space="preserve">No forma parte del alcance el desarrollo o configuración de los servicios SAP, SUNAT o Sertica en sí mismos; el sistema únicamente los consumirá como servicios externos expuestos por dichas plataformas.</w:t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4. Actores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6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Proveedor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externo que se registra, inicia sesión y carga documentos (comprobantes, órdenes de compra, documentos especiales).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de área interna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Colaborador de la organización que recibe, revisa, deriva, aprueba o rechaza los documentos en su bandeja correspondiente.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Usuario con rol administrativo que gestiona roles, sociedades y parametrías del sistema.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 SAP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 externo que expone servicios de validación (SUNAT, Sertica) y de registro contable/documentario.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5. Requerimientos Funcionales — Frontend (Angular)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5.1 Módulo de Seguridad y Acceso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RF-FE-01  </w:t>
      </w:r>
      <w:r>
        <w:rPr>
          <w:sz w:val="21"/>
          <w:szCs w:val="21"/>
        </w:rPr>
        <w:t xml:space="preserve">Login de usuario con autenticación mediante JWT.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RF-FE-02  </w:t>
      </w:r>
      <w:r>
        <w:rPr>
          <w:sz w:val="21"/>
          <w:szCs w:val="21"/>
        </w:rPr>
        <w:t xml:space="preserve">Registro de nuevos usuarios/proveedores.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RF-FE-03  </w:t>
      </w:r>
      <w:r>
        <w:rPr>
          <w:sz w:val="21"/>
          <w:szCs w:val="21"/>
        </w:rPr>
        <w:t xml:space="preserve">Cambio de contraseña del usuario autenticado.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RF-FE-04  </w:t>
      </w:r>
      <w:r>
        <w:rPr>
          <w:sz w:val="21"/>
          <w:szCs w:val="21"/>
        </w:rPr>
        <w:t xml:space="preserve">Cierre de sesión, invalidando el token en el cliente.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5.2 Módulo de Menú y Roles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RF-FE-05  </w:t>
      </w:r>
      <w:r>
        <w:rPr>
          <w:sz w:val="21"/>
          <w:szCs w:val="21"/>
        </w:rPr>
        <w:t xml:space="preserve">Menú de navegación dinámico, construido según los permisos/rol del usuario autenticado.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RF-FE-06  </w:t>
      </w:r>
      <w:r>
        <w:rPr>
          <w:sz w:val="21"/>
          <w:szCs w:val="21"/>
        </w:rPr>
        <w:t xml:space="preserve">Interfaz de gestión de roles y asignación de accesos por módulo.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5.3 Módulo de Consultas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RF-FE-07  </w:t>
      </w:r>
      <w:r>
        <w:rPr>
          <w:sz w:val="21"/>
          <w:szCs w:val="21"/>
        </w:rPr>
        <w:t xml:space="preserve">Listado de órdenes de pago con filtros por RUC, rango de fechas y sociedad; permite descargar el documento e imprimirlo mediante un botón directo.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RF-FE-08  </w:t>
      </w:r>
      <w:r>
        <w:rPr>
          <w:sz w:val="21"/>
          <w:szCs w:val="21"/>
        </w:rPr>
        <w:t xml:space="preserve">Listado de estado de factura con filtros por RUC, rango de fechas, número de factura y sociedad.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RF-FE-09  </w:t>
      </w:r>
      <w:r>
        <w:rPr>
          <w:sz w:val="21"/>
          <w:szCs w:val="21"/>
        </w:rPr>
        <w:t xml:space="preserve">Listado de proveedores con filtro y paginación.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5.4 Módulo de Perfil de Usuario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RF-FE-10  </w:t>
      </w:r>
      <w:r>
        <w:rPr>
          <w:sz w:val="21"/>
          <w:szCs w:val="21"/>
        </w:rPr>
        <w:t xml:space="preserve">Visualización de la información del usuario logueado (datos personales, sociedad, rol).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5.5 Módulo de Registro de Documentos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RF-FE-11  </w:t>
      </w:r>
      <w:r>
        <w:rPr>
          <w:sz w:val="21"/>
          <w:szCs w:val="21"/>
        </w:rPr>
        <w:t xml:space="preserve">Formulario de carga de archivos PDF, XML y CDR, con posibilidad de adjuntar PDFs adicionales que el backend unificará en un solo documento.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RF-FE-12  </w:t>
      </w:r>
      <w:r>
        <w:rPr>
          <w:sz w:val="21"/>
          <w:szCs w:val="21"/>
        </w:rPr>
        <w:t xml:space="preserve">Selección de la sociedad receptora del documento.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RF-FE-13  </w:t>
      </w:r>
      <w:r>
        <w:rPr>
          <w:sz w:val="21"/>
          <w:szCs w:val="21"/>
        </w:rPr>
        <w:t xml:space="preserve">Selección del tipo de documento: (a) comprobante con orden de pago, (b) comprobante sin orden de compra, (c) documento especial.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RF-FE-14  </w:t>
      </w:r>
      <w:r>
        <w:rPr>
          <w:sz w:val="21"/>
          <w:szCs w:val="21"/>
        </w:rPr>
        <w:t xml:space="preserve">Para los tipos «comprobante sin orden de compra» y «documento especial», selección obligatoria del área solicitante y del correo solicitante.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5.6 Módulo de Bandejas de Gestión Documentaria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RF-FE-15  </w:t>
      </w:r>
      <w:r>
        <w:rPr>
          <w:sz w:val="21"/>
          <w:szCs w:val="21"/>
        </w:rPr>
        <w:t xml:space="preserve">Bandeja de documentos por cada tipo (comprobante con OP, comprobante sin OC, documento especial), listando los registros recibidos.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RF-FE-16  </w:t>
      </w:r>
      <w:r>
        <w:rPr>
          <w:sz w:val="21"/>
          <w:szCs w:val="21"/>
        </w:rPr>
        <w:t xml:space="preserve">Descarga del PDF unificado desde el listado de la bandeja.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RF-FE-17  </w:t>
      </w:r>
      <w:r>
        <w:rPr>
          <w:sz w:val="21"/>
          <w:szCs w:val="21"/>
        </w:rPr>
        <w:t xml:space="preserve">Derivación del documento a otra área desde la bandeja.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RF-FE-18  </w:t>
      </w:r>
      <w:r>
        <w:rPr>
          <w:sz w:val="21"/>
          <w:szCs w:val="21"/>
        </w:rPr>
        <w:t xml:space="preserve">Aprobación del documento desde la bandeja.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RF-FE-19  </w:t>
      </w:r>
      <w:r>
        <w:rPr>
          <w:sz w:val="21"/>
          <w:szCs w:val="21"/>
        </w:rPr>
        <w:t xml:space="preserve">Rechazo del documento indicando el motivo, desde la bandeja.</w:t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6. Requerimientos Funcionales — Backend (.NET)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6.1 Seguridad y Autenticación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RF-BE-01  </w:t>
      </w:r>
      <w:r>
        <w:rPr>
          <w:sz w:val="21"/>
          <w:szCs w:val="21"/>
        </w:rPr>
        <w:t xml:space="preserve">Servicio de login con generación de token JWT.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RF-BE-02  </w:t>
      </w:r>
      <w:r>
        <w:rPr>
          <w:sz w:val="21"/>
          <w:szCs w:val="21"/>
        </w:rPr>
        <w:t xml:space="preserve">Gestión de roles y permisos.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RF-BE-03  </w:t>
      </w:r>
      <w:r>
        <w:rPr>
          <w:sz w:val="21"/>
          <w:szCs w:val="21"/>
        </w:rPr>
        <w:t xml:space="preserve">Autenticación y autorización de todos los endpoints expuestos por la API.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6.2 Servicios de Catálogo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RF-BE-04  </w:t>
      </w:r>
      <w:r>
        <w:rPr>
          <w:sz w:val="21"/>
          <w:szCs w:val="21"/>
        </w:rPr>
        <w:t xml:space="preserve">Endpoint para listar sociedades.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RF-BE-05  </w:t>
      </w:r>
      <w:r>
        <w:rPr>
          <w:sz w:val="21"/>
          <w:szCs w:val="21"/>
        </w:rPr>
        <w:t xml:space="preserve">Endpoint para listar el menú según el rol del usuario.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6.3 Servicios de Consulta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RF-BE-06  </w:t>
      </w:r>
      <w:r>
        <w:rPr>
          <w:sz w:val="21"/>
          <w:szCs w:val="21"/>
        </w:rPr>
        <w:t xml:space="preserve">Endpoint para listar órdenes de pago con filtros (RUC, rango de fechas, sociedad) y paginación.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RF-BE-07  </w:t>
      </w:r>
      <w:r>
        <w:rPr>
          <w:sz w:val="21"/>
          <w:szCs w:val="21"/>
        </w:rPr>
        <w:t xml:space="preserve">Endpoint para listar estado de factura con filtros (RUC, rango de fechas, número de factura, sociedad) y paginación.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RF-BE-08  </w:t>
      </w:r>
      <w:r>
        <w:rPr>
          <w:sz w:val="21"/>
          <w:szCs w:val="21"/>
        </w:rPr>
        <w:t xml:space="preserve">Endpoint para listar proveedores con filtro y paginación.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RF-BE-09  </w:t>
      </w:r>
      <w:r>
        <w:rPr>
          <w:sz w:val="21"/>
          <w:szCs w:val="21"/>
        </w:rPr>
        <w:t xml:space="preserve">Endpoint para obtener la información del usuario logueado.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6.4 Servicio de Registro de Documentos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RF-BE-10  </w:t>
      </w:r>
      <w:r>
        <w:rPr>
          <w:sz w:val="21"/>
          <w:szCs w:val="21"/>
        </w:rPr>
        <w:t xml:space="preserve">Recepción de archivos PDF, XML, CDR y PDFs adicionales; unificación de los PDFs en un solo documento y envío al Blob Storage.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RF-BE-11  </w:t>
      </w:r>
      <w:r>
        <w:rPr>
          <w:sz w:val="21"/>
          <w:szCs w:val="21"/>
        </w:rPr>
        <w:t xml:space="preserve">Recepción de la sociedad receptora y el tipo de documento seleccionado.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RF-BE-12  </w:t>
      </w:r>
      <w:r>
        <w:rPr>
          <w:sz w:val="21"/>
          <w:szCs w:val="21"/>
        </w:rPr>
        <w:t xml:space="preserve">Validación de que el XML tenga el formato correcto de documento electrónico.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RF-BE-13  </w:t>
      </w:r>
      <w:r>
        <w:rPr>
          <w:sz w:val="21"/>
          <w:szCs w:val="21"/>
        </w:rPr>
        <w:t xml:space="preserve">Validación de duplicidad del documento antes de registrarlo.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RF-BE-14  </w:t>
      </w:r>
      <w:r>
        <w:rPr>
          <w:sz w:val="21"/>
          <w:szCs w:val="21"/>
        </w:rPr>
        <w:t xml:space="preserve">Validación del documento contra SUNAT mediante el servicio expuesto por SAP.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RF-BE-15  </w:t>
      </w:r>
      <w:r>
        <w:rPr>
          <w:sz w:val="21"/>
          <w:szCs w:val="21"/>
        </w:rPr>
        <w:t xml:space="preserve">Validación del documento contra Sertica mediante el servicio expuesto por SAP.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RF-BE-16  </w:t>
      </w:r>
      <w:r>
        <w:rPr>
          <w:sz w:val="21"/>
          <w:szCs w:val="21"/>
        </w:rPr>
        <w:t xml:space="preserve">Registro del documento en el servicio de SAP y en la base de datos SQL.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RF-BE-17  </w:t>
      </w:r>
      <w:r>
        <w:rPr>
          <w:sz w:val="21"/>
          <w:szCs w:val="21"/>
        </w:rPr>
        <w:t xml:space="preserve">Diseño y construcción de la estructura de tablas (estados, historial, transiciones) que soporte todo el flujo documentario.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6.5 Servicio de Gestión de Bandeja / Flujo Documentario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RF-BE-18  </w:t>
      </w:r>
      <w:r>
        <w:rPr>
          <w:sz w:val="21"/>
          <w:szCs w:val="21"/>
        </w:rPr>
        <w:t xml:space="preserve">Endpoint para listar los documentos registrados, con filtro por usuario y paginación.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RF-BE-19  </w:t>
      </w:r>
      <w:r>
        <w:rPr>
          <w:sz w:val="21"/>
          <w:szCs w:val="21"/>
        </w:rPr>
        <w:t xml:space="preserve">Endpoint para reasignar (derivar) el documento a otra área.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RF-BE-20  </w:t>
      </w:r>
      <w:r>
        <w:rPr>
          <w:sz w:val="21"/>
          <w:szCs w:val="21"/>
        </w:rPr>
        <w:t xml:space="preserve">Endpoint para aprobar el documento.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RF-BE-21  </w:t>
      </w:r>
      <w:r>
        <w:rPr>
          <w:sz w:val="21"/>
          <w:szCs w:val="21"/>
        </w:rPr>
        <w:t xml:space="preserve">Endpoint para rechazar el documento, enviando por correo electrónico el motivo del rechazo al área/usuario solicitante.</w:t>
      </w:r>
    </w:p>
    <w:p>
      <w:pPr>
        <w:pStyle w:val="Heading2"/>
        <w:spacing w:after="120" w:before="260"/>
      </w:pPr>
      <w:r>
        <w:rPr>
          <w:b/>
          <w:bCs/>
          <w:color w:val="2E5496"/>
          <w:sz w:val="24"/>
          <w:szCs w:val="24"/>
        </w:rPr>
        <w:t xml:space="preserve">6.6 Servicio de Descarga e Impresión</w:t>
      </w:r>
    </w:p>
    <w:p>
      <w:pPr>
        <w:spacing w:after="80"/>
      </w:pPr>
      <w:r>
        <w:rPr>
          <w:b/>
          <w:bCs/>
          <w:color w:val="1F3864"/>
          <w:sz w:val="21"/>
          <w:szCs w:val="21"/>
        </w:rPr>
        <w:t xml:space="preserve">RF-BE-22  </w:t>
      </w:r>
      <w:r>
        <w:rPr>
          <w:sz w:val="21"/>
          <w:szCs w:val="21"/>
        </w:rPr>
        <w:t xml:space="preserve">Endpoint para obtener el documento unificado desde el Blob Storage, para su descarga o impresión.</w:t>
      </w:r>
    </w:p>
    <w:p>
      <w:r>
        <w:br w:type="page"/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7.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documento solo puede registrarse si pasa las validaciones de formato XML, duplicidad, SUNAT y Sertica.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Los tipos «comprobante sin orden de compra» y «documento especial» exigen el área solicitante y el correo solicitante como datos obligatorios.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Todo rechazo debe registrar un motivo y notificarse por correo electrónico al área o usuario que originó el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 estado del documento debe transitar de forma controlada (ej. Registrado → En revisión → Derivado / Aprobado / Rechazado), manteniendo trazabilidad e historial de cada cambio.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 PDF final almacenado debe ser el resultado de la unificación del PDF principal con los PDFs adicionales cargados por el proveedor.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 acceso a cada módulo y a cada bandeja se controla según el rol asignado al usuario.</w:t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8. Requerimientos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Seguridad: comunicación bajo HTTPS, tokens JWT con expiración, autorización a nivel de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Rendimiento: listados con paginación para soportar grandes volúmenes de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Disponibilidad: arquitectura desplegable en ambientes de desarrollo, calidad (QA) y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Escalabilidad: separación de responsabilidades entre frontend, backend y almacenamiento (Blob 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Usabilidad: interfaz responsiva, consistente con los estándares de Angular Material u otra librería de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Auditoría: registro de historial de cada documento (usuario, fecha, acción, motivo).</w:t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9. Supuestos y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Los servicios de validación SUNAT y Sertica ya se encuentran expuestos y disponibles a través de SAP, con su respectiva documentación técnica (WSDL/API).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 cuenta con un ambiente de Blob Storage habilitado y accesible para 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Las credenciales y accesos a los ambientes de SAP, SUNAT y Sertica serán proporcionadas por 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 diseño visual (UI Kit / branding) será proporcionado o validado por el cliente durante la etapa de análisis.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Cualquier integración adicional no descrita en este documento será evaluada como un cambio de alcance.</w:t>
      </w:r>
    </w:p>
    <w:p>
      <w:pPr>
        <w:pStyle w:val="Heading1"/>
        <w:pBdr>
          <w:bottom w:val="single" w:color="2E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10. Glosario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2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72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Web Token, estándar utilizado para la autenticación y transmisión segura de información entre cliente y servidor.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CDR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Constancia de Recepción emitida por SUNAT para un documento electrónico.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SAP</w:t>
            </w:r>
          </w:p>
        </w:tc>
        <w:tc>
          <w:tcPr>
            <w:tcW w:type="dxa" w:w="72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 ERP utilizado por la organización, que expone servicios de validación y registro.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Blob Storage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Servicio de almacenamiento de archivos no estructurados en la nube.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Bandeja</w:t>
            </w:r>
          </w:p>
        </w:tc>
        <w:tc>
          <w:tcPr>
            <w:tcW w:type="dxa" w:w="72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Listado donde llegan los documentos de un tipo específico, pendientes de derivación, aprobación o rechazo.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Sociedad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Unidad de negocio o empresa dentro de la organización a la que se dirige el documento.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2026-09-11T22:42:57.817Z</dcterms:created>
  <dcterms:modified xsi:type="dcterms:W3CDTF">2026-09-11T22:42:57.827Z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