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3"/>
        <w:tblW w:w="8734" w:type="dxa"/>
        <w:tblLook w:val="04A0"/>
      </w:tblPr>
      <w:tblGrid>
        <w:gridCol w:w="1082"/>
        <w:gridCol w:w="1080"/>
        <w:gridCol w:w="987"/>
        <w:gridCol w:w="676"/>
        <w:gridCol w:w="599"/>
        <w:gridCol w:w="651"/>
        <w:gridCol w:w="651"/>
        <w:gridCol w:w="583"/>
        <w:gridCol w:w="496"/>
        <w:gridCol w:w="789"/>
        <w:gridCol w:w="459"/>
        <w:gridCol w:w="681"/>
      </w:tblGrid>
      <w:tr w:rsidR="002A18EF" w:rsidTr="008B6EEF">
        <w:trPr>
          <w:cnfStyle w:val="100000000000"/>
          <w:trHeight w:val="540"/>
        </w:trPr>
        <w:tc>
          <w:tcPr>
            <w:cnfStyle w:val="001000000000"/>
            <w:tcW w:w="2167" w:type="dxa"/>
            <w:gridSpan w:val="2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  <w:r w:rsidRPr="00466144">
              <w:rPr>
                <w:rFonts w:cs="Times New Roman"/>
                <w:b w:val="0"/>
                <w:sz w:val="14"/>
              </w:rPr>
              <w:t>Características versus metodologías</w:t>
            </w:r>
          </w:p>
        </w:tc>
        <w:tc>
          <w:tcPr>
            <w:tcW w:w="1038" w:type="dxa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OOHDM-RIA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OOH4RIA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466144">
              <w:rPr>
                <w:rFonts w:cs="Times New Roman"/>
                <w:b w:val="0"/>
                <w:sz w:val="12"/>
              </w:rPr>
              <w:t>WebML</w:t>
            </w:r>
            <w:proofErr w:type="spellEnd"/>
            <w:r w:rsidRPr="00466144">
              <w:rPr>
                <w:rFonts w:cs="Times New Roman"/>
                <w:b w:val="0"/>
                <w:sz w:val="12"/>
              </w:rPr>
              <w:t xml:space="preserve"> - RIA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Patrones con UWE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Patrones OOWS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466144">
              <w:rPr>
                <w:rFonts w:cs="Times New Roman"/>
                <w:b w:val="0"/>
                <w:sz w:val="12"/>
              </w:rPr>
              <w:t>UsiXML</w:t>
            </w:r>
            <w:proofErr w:type="spellEnd"/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UWE-R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Espacios interactivos con UML</w:t>
            </w:r>
          </w:p>
        </w:tc>
        <w:tc>
          <w:tcPr>
            <w:tcW w:w="0" w:type="auto"/>
            <w:hideMark/>
          </w:tcPr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2A18EF" w:rsidRPr="00466144" w:rsidRDefault="002A18EF" w:rsidP="008B6EEF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UWE + RUX</w:t>
            </w:r>
          </w:p>
        </w:tc>
        <w:tc>
          <w:tcPr>
            <w:tcW w:w="0" w:type="auto"/>
          </w:tcPr>
          <w:p w:rsidR="002A18EF" w:rsidRPr="00466144" w:rsidRDefault="002A18EF" w:rsidP="008B6EEF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2A18EF" w:rsidRPr="00466144" w:rsidRDefault="002A18EF" w:rsidP="008B6EEF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2A18EF" w:rsidRPr="00466144" w:rsidRDefault="002A18EF" w:rsidP="008B6EEF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2A18EF" w:rsidRPr="00466144" w:rsidRDefault="002A18EF" w:rsidP="008B6EEF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466144">
              <w:rPr>
                <w:rFonts w:cs="Times New Roman"/>
                <w:b w:val="0"/>
                <w:bCs w:val="0"/>
                <w:sz w:val="12"/>
              </w:rPr>
              <w:t>MoWebA</w:t>
            </w:r>
            <w:proofErr w:type="spellEnd"/>
          </w:p>
        </w:tc>
      </w:tr>
      <w:tr w:rsidR="002A18EF" w:rsidTr="008B6EEF">
        <w:trPr>
          <w:cnfStyle w:val="000000100000"/>
          <w:trHeight w:val="718"/>
        </w:trPr>
        <w:tc>
          <w:tcPr>
            <w:cnfStyle w:val="001000000000"/>
            <w:tcW w:w="2167" w:type="dxa"/>
            <w:gridSpan w:val="2"/>
            <w:hideMark/>
          </w:tcPr>
          <w:p w:rsidR="002A18EF" w:rsidRPr="0027166B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Almacenamiento en el lado del cliente</w:t>
            </w:r>
          </w:p>
        </w:tc>
        <w:tc>
          <w:tcPr>
            <w:tcW w:w="1038" w:type="dxa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RPr="00CD4B4D" w:rsidTr="008B6EEF">
        <w:trPr>
          <w:trHeight w:val="351"/>
        </w:trPr>
        <w:tc>
          <w:tcPr>
            <w:cnfStyle w:val="001000000000"/>
            <w:tcW w:w="0" w:type="auto"/>
            <w:vMerge w:val="restart"/>
            <w:hideMark/>
          </w:tcPr>
          <w:p w:rsidR="002A18EF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2A18EF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2A18EF" w:rsidRPr="0027166B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Lógica de negocio en el lado del cliente</w:t>
            </w: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Operaciones complejas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2A18EF" w:rsidRPr="00CD4B4D" w:rsidRDefault="002A18EF" w:rsidP="008B6EEF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RPr="00CD4B4D" w:rsidTr="008B6EEF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Operaciones específicas del dominio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2A18EF" w:rsidRPr="00CD4B4D" w:rsidRDefault="002A18EF" w:rsidP="008B6EEF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Tr="008B6EEF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Validación local</w:t>
            </w:r>
          </w:p>
        </w:tc>
        <w:tc>
          <w:tcPr>
            <w:tcW w:w="1038" w:type="dxa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2A18EF" w:rsidRPr="0027166B" w:rsidTr="008B6EEF">
        <w:trPr>
          <w:cnfStyle w:val="000000100000"/>
          <w:trHeight w:val="804"/>
        </w:trPr>
        <w:tc>
          <w:tcPr>
            <w:cnfStyle w:val="001000000000"/>
            <w:tcW w:w="0" w:type="auto"/>
            <w:vMerge w:val="restart"/>
            <w:hideMark/>
          </w:tcPr>
          <w:p w:rsidR="002A18EF" w:rsidRPr="0027166B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Presentaciones enriquecidas</w:t>
            </w: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Manejo de eventos en el lado cliente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Tr="008B6EEF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proofErr w:type="spellStart"/>
            <w:r w:rsidRPr="00CD4B4D">
              <w:rPr>
                <w:rFonts w:cs="Times New Roman"/>
                <w:sz w:val="14"/>
              </w:rPr>
              <w:t>Widgets</w:t>
            </w:r>
            <w:proofErr w:type="spellEnd"/>
          </w:p>
        </w:tc>
        <w:tc>
          <w:tcPr>
            <w:tcW w:w="1038" w:type="dxa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2A18EF" w:rsidTr="008B6EEF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Paradigma de página única</w:t>
            </w:r>
          </w:p>
        </w:tc>
        <w:tc>
          <w:tcPr>
            <w:tcW w:w="1038" w:type="dxa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2A18EF" w:rsidRPr="0027166B" w:rsidTr="008B6EEF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Contenido multimedia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2A18EF" w:rsidRPr="0027166B" w:rsidTr="008B6EEF">
        <w:trPr>
          <w:cnfStyle w:val="000000100000"/>
          <w:trHeight w:val="365"/>
        </w:trPr>
        <w:tc>
          <w:tcPr>
            <w:cnfStyle w:val="001000000000"/>
            <w:tcW w:w="0" w:type="auto"/>
            <w:vMerge w:val="restart"/>
            <w:hideMark/>
          </w:tcPr>
          <w:p w:rsidR="002A18EF" w:rsidRPr="0027166B" w:rsidRDefault="002A18EF" w:rsidP="008B6EEF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Comunicación cliente servidor</w:t>
            </w: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Sincronización de datos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RPr="0027166B" w:rsidTr="008B6EEF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Obtención de actualizaciones parciales de página</w:t>
            </w:r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2A18EF" w:rsidRDefault="002A18EF" w:rsidP="008B6EEF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2A18EF" w:rsidRPr="00CD4B4D" w:rsidTr="008B6EEF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2A18EF" w:rsidRPr="00CD4B4D" w:rsidRDefault="002A18EF" w:rsidP="008B6EEF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2A18EF" w:rsidRPr="00CD4B4D" w:rsidRDefault="002A18EF" w:rsidP="008B6EEF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proofErr w:type="spellStart"/>
            <w:r w:rsidRPr="00CD4B4D">
              <w:rPr>
                <w:rFonts w:cs="Times New Roman"/>
                <w:sz w:val="14"/>
              </w:rPr>
              <w:t>Push</w:t>
            </w:r>
            <w:proofErr w:type="spellEnd"/>
            <w:r w:rsidRPr="00CD4B4D">
              <w:rPr>
                <w:rFonts w:cs="Times New Roman"/>
                <w:sz w:val="14"/>
              </w:rPr>
              <w:t xml:space="preserve"> y </w:t>
            </w:r>
            <w:proofErr w:type="spellStart"/>
            <w:r w:rsidRPr="00CD4B4D">
              <w:rPr>
                <w:rFonts w:cs="Times New Roman"/>
                <w:sz w:val="14"/>
              </w:rPr>
              <w:t>Pull</w:t>
            </w:r>
            <w:proofErr w:type="spellEnd"/>
          </w:p>
        </w:tc>
        <w:tc>
          <w:tcPr>
            <w:tcW w:w="1038" w:type="dxa"/>
            <w:hideMark/>
          </w:tcPr>
          <w:p w:rsidR="002A18EF" w:rsidRPr="0027166B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DB3A8A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2A18EF" w:rsidRPr="00CD4B4D" w:rsidRDefault="002A18EF" w:rsidP="008B6EEF">
            <w:pPr>
              <w:keepNext/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2A18EF" w:rsidRPr="00CD4B4D" w:rsidRDefault="002A18EF" w:rsidP="008B6EEF">
            <w:pPr>
              <w:keepNext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</w:tbl>
    <w:p w:rsidR="000377F5" w:rsidRDefault="000377F5"/>
    <w:sectPr w:rsidR="000377F5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A18EF"/>
    <w:rsid w:val="000377F5"/>
    <w:rsid w:val="0014555A"/>
    <w:rsid w:val="002A18EF"/>
    <w:rsid w:val="008A5ACD"/>
    <w:rsid w:val="00A631B8"/>
    <w:rsid w:val="00DD5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EF"/>
    <w:rPr>
      <w:rFonts w:eastAsiaTheme="minorEastAsia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3">
    <w:name w:val="Medium Grid 3 Accent 3"/>
    <w:basedOn w:val="Tablanormal"/>
    <w:uiPriority w:val="69"/>
    <w:rsid w:val="002A18EF"/>
    <w:pPr>
      <w:spacing w:after="0" w:line="240" w:lineRule="auto"/>
    </w:pPr>
    <w:rPr>
      <w:rFonts w:eastAsiaTheme="minorEastAsia"/>
      <w:lang w:val="es-ES" w:eastAsia="es-PY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718</Characters>
  <Application>Microsoft Office Word</Application>
  <DocSecurity>0</DocSecurity>
  <Lines>5</Lines>
  <Paragraphs>1</Paragraphs>
  <ScaleCrop>false</ScaleCrop>
  <Company>Hewlett-Packard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1</cp:revision>
  <dcterms:created xsi:type="dcterms:W3CDTF">2015-10-29T01:06:00Z</dcterms:created>
  <dcterms:modified xsi:type="dcterms:W3CDTF">2015-10-29T01:07:00Z</dcterms:modified>
</cp:coreProperties>
</file>