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B52338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B52338" w:rsidRDefault="0061472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6576423" w:history="1">
            <w:r w:rsidR="00B52338" w:rsidRPr="007E1C9A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B52338">
              <w:rPr>
                <w:noProof/>
                <w:lang w:eastAsia="pt-BR" w:bidi="ar-SA"/>
              </w:rPr>
              <w:tab/>
            </w:r>
            <w:r w:rsidR="00B52338" w:rsidRPr="007E1C9A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B52338">
              <w:rPr>
                <w:noProof/>
                <w:webHidden/>
              </w:rPr>
              <w:tab/>
            </w:r>
            <w:r w:rsidR="00B52338">
              <w:rPr>
                <w:noProof/>
                <w:webHidden/>
              </w:rPr>
              <w:fldChar w:fldCharType="begin"/>
            </w:r>
            <w:r w:rsidR="00B52338">
              <w:rPr>
                <w:noProof/>
                <w:webHidden/>
              </w:rPr>
              <w:instrText xml:space="preserve"> PAGEREF _Toc246576423 \h </w:instrText>
            </w:r>
            <w:r w:rsidR="00B52338">
              <w:rPr>
                <w:noProof/>
                <w:webHidden/>
              </w:rPr>
            </w:r>
            <w:r w:rsidR="00B52338">
              <w:rPr>
                <w:noProof/>
                <w:webHidden/>
              </w:rPr>
              <w:fldChar w:fldCharType="separate"/>
            </w:r>
            <w:r w:rsidR="00B52338">
              <w:rPr>
                <w:noProof/>
                <w:webHidden/>
              </w:rPr>
              <w:t>4</w:t>
            </w:r>
            <w:r w:rsidR="00B52338"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4" w:history="1">
            <w:r w:rsidRPr="007E1C9A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5" w:history="1">
            <w:r w:rsidRPr="007E1C9A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6" w:history="1">
            <w:r w:rsidRPr="007E1C9A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7" w:history="1">
            <w:r w:rsidRPr="007E1C9A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8" w:history="1">
            <w:r w:rsidRPr="007E1C9A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29" w:history="1">
            <w:r w:rsidRPr="007E1C9A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0" w:history="1">
            <w:r w:rsidRPr="007E1C9A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1" w:history="1">
            <w:r w:rsidRPr="007E1C9A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2" w:history="1">
            <w:r w:rsidRPr="007E1C9A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3" w:history="1">
            <w:r w:rsidRPr="007E1C9A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4" w:history="1">
            <w:r w:rsidRPr="007E1C9A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5" w:history="1">
            <w:r w:rsidRPr="007E1C9A">
              <w:rPr>
                <w:rStyle w:val="Hyperlink"/>
                <w:noProof/>
                <w:lang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  <w:lang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6" w:history="1">
            <w:r w:rsidRPr="007E1C9A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7" w:history="1">
            <w:r w:rsidRPr="007E1C9A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8" w:history="1">
            <w:r w:rsidRPr="007E1C9A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39" w:history="1">
            <w:r w:rsidRPr="007E1C9A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0" w:history="1">
            <w:r w:rsidRPr="007E1C9A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1" w:history="1">
            <w:r w:rsidRPr="007E1C9A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2" w:history="1">
            <w:r w:rsidRPr="007E1C9A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3" w:history="1">
            <w:r w:rsidRPr="007E1C9A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4" w:history="1">
            <w:r w:rsidRPr="007E1C9A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5" w:history="1">
            <w:r w:rsidRPr="007E1C9A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6" w:history="1">
            <w:r w:rsidRPr="007E1C9A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7" w:history="1">
            <w:r w:rsidRPr="007E1C9A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8" w:history="1">
            <w:r w:rsidRPr="007E1C9A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49" w:history="1">
            <w:r w:rsidRPr="007E1C9A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0" w:history="1">
            <w:r w:rsidRPr="007E1C9A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1" w:history="1">
            <w:r w:rsidRPr="007E1C9A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2" w:history="1">
            <w:r w:rsidRPr="007E1C9A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3" w:history="1">
            <w:r w:rsidRPr="007E1C9A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4" w:history="1">
            <w:r w:rsidRPr="007E1C9A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5" w:history="1">
            <w:r w:rsidRPr="007E1C9A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6" w:history="1">
            <w:r w:rsidRPr="007E1C9A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338" w:rsidRDefault="00B5233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6576457" w:history="1">
            <w:r w:rsidRPr="007E1C9A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7E1C9A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61472E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6576423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6576424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  <w:r>
        <w:rPr>
          <w:rFonts w:cs="DejaVu Sans"/>
          <w:lang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  <w:lang/>
        </w:rPr>
      </w:pPr>
      <w:r w:rsidRPr="005E11CF">
        <w:rPr>
          <w:rFonts w:asciiTheme="minorHAnsi" w:hAnsiTheme="minorHAnsi" w:cstheme="minorHAnsi"/>
          <w:sz w:val="22"/>
          <w:lang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  <w:lang/>
        </w:rPr>
        <w:t>Horae</w:t>
      </w:r>
      <w:r w:rsidRPr="005E11CF">
        <w:rPr>
          <w:rFonts w:asciiTheme="minorHAnsi" w:hAnsiTheme="minorHAnsi" w:cstheme="minorHAnsi"/>
          <w:sz w:val="22"/>
          <w:lang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6576425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6576426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6576427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6576428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6576429"/>
      <w:r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lastRenderedPageBreak/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6576430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6576431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6576432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6576433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6576434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lang/>
        </w:rPr>
      </w:pPr>
      <w:bookmarkStart w:id="12" w:name="_Toc246576435"/>
      <w:r>
        <w:rPr>
          <w:lang/>
        </w:rPr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lastRenderedPageBreak/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6576436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  <w:r>
        <w:rPr>
          <w:rFonts w:cs="DejaVu Sans"/>
          <w:lang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6576437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Heading2"/>
        <w:numPr>
          <w:ilvl w:val="0"/>
          <w:numId w:val="0"/>
        </w:numPr>
      </w:pP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6576438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6576439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6576440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911365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 A máquina pode ser vista na figura 1.</w:t>
      </w:r>
    </w:p>
    <w:p w:rsidR="00911365" w:rsidRDefault="00911365" w:rsidP="00911365">
      <w:pPr>
        <w:pStyle w:val="BodyText"/>
        <w:jc w:val="both"/>
      </w:pPr>
      <w:r>
        <w:tab/>
        <w:t>O asterisco (*) visto na figura significa que deve-se retroceder um caracter. O “delimit” pode ser um símbolo de branco, um símbolo de tab ou símbolo de pular linha, ou seja, caracteres de controle. 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>Para cada uma das transições da máquina está associada uma ação. As ações possíveis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  <w:r>
        <w:rPr>
          <w:rFonts w:cs="DejaVu Sans"/>
          <w:lang/>
        </w:rPr>
        <w:tab/>
        <w:t>Para realizar o desenvolvimento do analisador léxico foi preciso atentar para a linguagem definida. Com isso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  <w:lang/>
              </w:rPr>
            </w:pPr>
            <w:r>
              <w:rPr>
                <w:rFonts w:cs="DejaVu Sans"/>
                <w:lang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6576441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  <w:lang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 xml:space="preserve">O método de construção do analisador sintático usado foi o de autômato de pilha estruturado, aplicando-se sobre a notação de With da gramática definida. Após isso, as submáquinas foram simplificadas, retirando recursividades a esquerda e transições em vazio, além de juntar máquinas. No final, o analisador e  reconhecedor sintático ficou definido por 14 submáquinas. </w:t>
      </w:r>
      <w:r>
        <w:t>Nas subseções abaixo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6576442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911365" w:rsidP="00911365"/>
    <w:p w:rsidR="00911365" w:rsidRPr="00911365" w:rsidRDefault="00911365" w:rsidP="00911365">
      <w:r>
        <w:pict>
          <v:shape id="_x0000_s1027" type="#_x0000_t202" style="position:absolute;margin-left:0;margin-top:0;width:378.5pt;height:78.7pt;z-index:251661312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2025" cy="71437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2025" cy="714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6576443"/>
      <w:r>
        <w:t>Submáquina Condição</w:t>
      </w:r>
      <w:bookmarkEnd w:id="24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911365" w:rsidRPr="00911365" w:rsidRDefault="00911365" w:rsidP="00911365"/>
    <w:p w:rsidR="00911365" w:rsidRPr="00911365" w:rsidRDefault="00911365" w:rsidP="00911365">
      <w:r>
        <w:pict>
          <v:shape id="_x0000_s1028" type="#_x0000_t202" style="position:absolute;margin-left:0;margin-top:0;width:389.6pt;height:151.7pt;z-index:251662336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 xml:space="preserve">Para cada uma das transições da </w:t>
      </w:r>
      <w:r>
        <w:lastRenderedPageBreak/>
        <w:t>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6576444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911365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6576445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lastRenderedPageBreak/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911365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6576446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911365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6576447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911365" w:rsidP="00911365">
      <w:r>
        <w:lastRenderedPageBreak/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6576448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911365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6576449"/>
      <w:r>
        <w:lastRenderedPageBreak/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911365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6576450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lastRenderedPageBreak/>
        <w:t>ignora: isso vai mudar depois, vai chamar uma ação dosemântico</w:t>
      </w:r>
    </w:p>
    <w:p w:rsidR="00911365" w:rsidRPr="00911365" w:rsidRDefault="00911365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6576451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r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</w:t>
      </w:r>
      <w:r>
        <w:lastRenderedPageBreak/>
        <w:t>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6576452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911365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6576453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911365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6576454"/>
      <w:r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911365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6576455"/>
      <w:r>
        <w:lastRenderedPageBreak/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inset="1.4pt,1.4pt,1.4pt,1.4pt">
              <w:txbxContent>
                <w:p w:rsidR="00291325" w:rsidRDefault="00291325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chamaFator: não consome o token e passa para a submáquina fator;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  <w:rPr>
          <w:shd w:val="clear" w:color="auto" w:fill="FFFF00"/>
        </w:rPr>
      </w:pPr>
      <w:r>
        <w:rPr>
          <w:shd w:val="clear" w:color="auto" w:fill="FFFF00"/>
        </w:rPr>
        <w:t>ignora: isso vai mudar depois, vai chamar uma ação dosemântico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6576456"/>
      <w:r>
        <w:lastRenderedPageBreak/>
        <w:t>Análise Semântica</w:t>
      </w:r>
      <w:bookmarkEnd w:id="43"/>
      <w:r>
        <w:t xml:space="preserve"> 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4" w:name="_Toc246576457"/>
      <w:r>
        <w:lastRenderedPageBreak/>
        <w:t>Bibliografia</w:t>
      </w:r>
      <w:bookmarkEnd w:id="44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911365" w:rsidRDefault="00911365" w:rsidP="00911365"/>
    <w:sectPr w:rsidR="00911365" w:rsidRPr="00911365" w:rsidSect="003D0889">
      <w:footerReference w:type="default" r:id="rId24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748" w:rsidRDefault="00A07748" w:rsidP="00B96861">
      <w:pPr>
        <w:spacing w:line="240" w:lineRule="auto"/>
      </w:pPr>
      <w:r>
        <w:separator/>
      </w:r>
    </w:p>
  </w:endnote>
  <w:endnote w:type="continuationSeparator" w:id="0">
    <w:p w:rsidR="00A07748" w:rsidRDefault="00A07748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291325" w:rsidRDefault="00291325">
        <w:pPr>
          <w:pStyle w:val="Footer"/>
        </w:pPr>
        <w:r w:rsidRPr="0061472E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291325" w:rsidRDefault="00291325">
                      <w:pPr>
                        <w:jc w:val="center"/>
                      </w:pPr>
                      <w:fldSimple w:instr=" PAGE    \* MERGEFORMAT ">
                        <w:r w:rsidR="00EA1BFA" w:rsidRPr="00EA1BFA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5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748" w:rsidRDefault="00A07748" w:rsidP="00B96861">
      <w:pPr>
        <w:spacing w:line="240" w:lineRule="auto"/>
      </w:pPr>
      <w:r>
        <w:separator/>
      </w:r>
    </w:p>
  </w:footnote>
  <w:footnote w:type="continuationSeparator" w:id="0">
    <w:p w:rsidR="00A07748" w:rsidRDefault="00A07748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1A55C5"/>
    <w:rsid w:val="00291325"/>
    <w:rsid w:val="002A26E6"/>
    <w:rsid w:val="002A3E0A"/>
    <w:rsid w:val="002D1AC0"/>
    <w:rsid w:val="003A39FA"/>
    <w:rsid w:val="003D0889"/>
    <w:rsid w:val="003F1E12"/>
    <w:rsid w:val="004A7173"/>
    <w:rsid w:val="004B01CD"/>
    <w:rsid w:val="004E67BF"/>
    <w:rsid w:val="004E7723"/>
    <w:rsid w:val="00582062"/>
    <w:rsid w:val="005B1F75"/>
    <w:rsid w:val="005C56C1"/>
    <w:rsid w:val="005E11CF"/>
    <w:rsid w:val="0061472E"/>
    <w:rsid w:val="006216A0"/>
    <w:rsid w:val="00661FB2"/>
    <w:rsid w:val="006955B0"/>
    <w:rsid w:val="00737E1C"/>
    <w:rsid w:val="00750516"/>
    <w:rsid w:val="007F4E80"/>
    <w:rsid w:val="0080736E"/>
    <w:rsid w:val="00847354"/>
    <w:rsid w:val="0087532E"/>
    <w:rsid w:val="00911365"/>
    <w:rsid w:val="00927867"/>
    <w:rsid w:val="00973390"/>
    <w:rsid w:val="00973462"/>
    <w:rsid w:val="009A446D"/>
    <w:rsid w:val="009C7A4E"/>
    <w:rsid w:val="009E0E86"/>
    <w:rsid w:val="00A07748"/>
    <w:rsid w:val="00A15966"/>
    <w:rsid w:val="00B06052"/>
    <w:rsid w:val="00B52338"/>
    <w:rsid w:val="00B63565"/>
    <w:rsid w:val="00B96861"/>
    <w:rsid w:val="00D76FEA"/>
    <w:rsid w:val="00DA354A"/>
    <w:rsid w:val="00DC20CF"/>
    <w:rsid w:val="00EA1BFA"/>
    <w:rsid w:val="00F11309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2683"/>
    <w:rsid w:val="0019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7F7FA31FEF4F1C956AE9FC98839A72">
    <w:name w:val="B47F7FA31FEF4F1C956AE9FC98839A72"/>
    <w:rsid w:val="00192683"/>
  </w:style>
  <w:style w:type="paragraph" w:customStyle="1" w:styleId="EB798324B51C4046994802445D842898">
    <w:name w:val="EB798324B51C4046994802445D842898"/>
    <w:rsid w:val="00192683"/>
  </w:style>
  <w:style w:type="paragraph" w:customStyle="1" w:styleId="A6644A1F1BA44D0598812A20CE98A133">
    <w:name w:val="A6644A1F1BA44D0598812A20CE98A133"/>
    <w:rsid w:val="00192683"/>
  </w:style>
  <w:style w:type="paragraph" w:customStyle="1" w:styleId="A742998779B84C65AE6B911D807DA18B">
    <w:name w:val="A742998779B84C65AE6B911D807DA18B"/>
    <w:rsid w:val="00192683"/>
  </w:style>
  <w:style w:type="paragraph" w:customStyle="1" w:styleId="43AE88A7003347008DCE61F73173A2C3">
    <w:name w:val="43AE88A7003347008DCE61F73173A2C3"/>
    <w:rsid w:val="00192683"/>
  </w:style>
  <w:style w:type="paragraph" w:customStyle="1" w:styleId="4058EB1051094960A4073C30D0C80493">
    <w:name w:val="4058EB1051094960A4073C30D0C80493"/>
    <w:rsid w:val="00192683"/>
  </w:style>
  <w:style w:type="paragraph" w:customStyle="1" w:styleId="173B2AED31BC4F11BA8218C5F80028DC">
    <w:name w:val="173B2AED31BC4F11BA8218C5F80028DC"/>
    <w:rsid w:val="00192683"/>
  </w:style>
  <w:style w:type="paragraph" w:customStyle="1" w:styleId="732AE64CF4EF43E2A6DA06343AAEA049">
    <w:name w:val="732AE64CF4EF43E2A6DA06343AAEA049"/>
    <w:rsid w:val="00192683"/>
  </w:style>
  <w:style w:type="paragraph" w:customStyle="1" w:styleId="EDFF88A9B46F4216BABA5D6AB31536A4">
    <w:name w:val="EDFF88A9B46F4216BABA5D6AB31536A4"/>
    <w:rsid w:val="00192683"/>
  </w:style>
  <w:style w:type="paragraph" w:customStyle="1" w:styleId="4A5051A1280443D38736B1C6E3B154CC">
    <w:name w:val="4A5051A1280443D38736B1C6E3B154CC"/>
    <w:rsid w:val="00192683"/>
  </w:style>
  <w:style w:type="paragraph" w:customStyle="1" w:styleId="8C1BB04F2D614B51B5998DDEE90CE88F">
    <w:name w:val="8C1BB04F2D614B51B5998DDEE90CE88F"/>
    <w:rsid w:val="00192683"/>
  </w:style>
  <w:style w:type="paragraph" w:customStyle="1" w:styleId="FC39A5AC63EC4A33BAB52EAAEFCCE127">
    <w:name w:val="FC39A5AC63EC4A33BAB52EAAEFCCE127"/>
    <w:rsid w:val="00192683"/>
  </w:style>
  <w:style w:type="paragraph" w:customStyle="1" w:styleId="5FF1E56C452D4724A9C919EC16F594B9">
    <w:name w:val="5FF1E56C452D4724A9C919EC16F594B9"/>
    <w:rsid w:val="00192683"/>
  </w:style>
  <w:style w:type="paragraph" w:customStyle="1" w:styleId="944FB5E6C0AF45ACBF6B2BD8E80828E4">
    <w:name w:val="944FB5E6C0AF45ACBF6B2BD8E80828E4"/>
    <w:rsid w:val="00192683"/>
  </w:style>
  <w:style w:type="paragraph" w:customStyle="1" w:styleId="E38D9E8AEE2340B2AA2632D9CF75EC5F">
    <w:name w:val="E38D9E8AEE2340B2AA2632D9CF75EC5F"/>
    <w:rsid w:val="00192683"/>
  </w:style>
  <w:style w:type="paragraph" w:customStyle="1" w:styleId="B2BE143715F24DCC997C40A7902A3F11">
    <w:name w:val="B2BE143715F24DCC997C40A7902A3F11"/>
    <w:rsid w:val="00192683"/>
  </w:style>
  <w:style w:type="paragraph" w:customStyle="1" w:styleId="598550E8BFB645AFA8FF9759869B235F">
    <w:name w:val="598550E8BFB645AFA8FF9759869B235F"/>
    <w:rsid w:val="00192683"/>
  </w:style>
  <w:style w:type="paragraph" w:customStyle="1" w:styleId="1CE8D23117A94333899524B3B5D23EE5">
    <w:name w:val="1CE8D23117A94333899524B3B5D23EE5"/>
    <w:rsid w:val="00192683"/>
  </w:style>
  <w:style w:type="paragraph" w:customStyle="1" w:styleId="F76F442F07D3404382ABDC268775875A">
    <w:name w:val="F76F442F07D3404382ABDC268775875A"/>
    <w:rsid w:val="00192683"/>
  </w:style>
  <w:style w:type="paragraph" w:customStyle="1" w:styleId="D492B993CDC04917B3812E8F54DA7893">
    <w:name w:val="D492B993CDC04917B3812E8F54DA7893"/>
    <w:rsid w:val="00192683"/>
  </w:style>
  <w:style w:type="paragraph" w:customStyle="1" w:styleId="ED92E3643E454660A644107EBAECD77A">
    <w:name w:val="ED92E3643E454660A644107EBAECD77A"/>
    <w:rsid w:val="00192683"/>
  </w:style>
  <w:style w:type="paragraph" w:customStyle="1" w:styleId="850DF10338AF49DCAF727148810E73C5">
    <w:name w:val="850DF10338AF49DCAF727148810E73C5"/>
    <w:rsid w:val="00192683"/>
  </w:style>
  <w:style w:type="paragraph" w:customStyle="1" w:styleId="42221667813047A0A4A9BCDBF20C7A34">
    <w:name w:val="42221667813047A0A4A9BCDBF20C7A34"/>
    <w:rsid w:val="00192683"/>
  </w:style>
  <w:style w:type="paragraph" w:customStyle="1" w:styleId="36355D68442B4351845BEDAB246A5A1E">
    <w:name w:val="36355D68442B4351845BEDAB246A5A1E"/>
    <w:rsid w:val="00192683"/>
  </w:style>
  <w:style w:type="paragraph" w:customStyle="1" w:styleId="10831BAD3C6243748BB2DEBFF9E51415">
    <w:name w:val="10831BAD3C6243748BB2DEBFF9E51415"/>
    <w:rsid w:val="00192683"/>
  </w:style>
  <w:style w:type="paragraph" w:customStyle="1" w:styleId="546CFDA17244420FBECFD3176BD6CF0E">
    <w:name w:val="546CFDA17244420FBECFD3176BD6CF0E"/>
    <w:rsid w:val="00192683"/>
  </w:style>
  <w:style w:type="paragraph" w:customStyle="1" w:styleId="44F1EF522EAF42B89C462EA407EC81C3">
    <w:name w:val="44F1EF522EAF42B89C462EA407EC81C3"/>
    <w:rsid w:val="00192683"/>
  </w:style>
  <w:style w:type="paragraph" w:customStyle="1" w:styleId="2A10DD896E804024B48F22A420C6D19B">
    <w:name w:val="2A10DD896E804024B48F22A420C6D19B"/>
    <w:rsid w:val="00192683"/>
  </w:style>
  <w:style w:type="paragraph" w:customStyle="1" w:styleId="87948BFD00984E5D9F7DD5782F4F6ECE">
    <w:name w:val="87948BFD00984E5D9F7DD5782F4F6ECE"/>
    <w:rsid w:val="00192683"/>
  </w:style>
  <w:style w:type="paragraph" w:customStyle="1" w:styleId="A5F337DB7AC94D0586C6E5065D0E14EE">
    <w:name w:val="A5F337DB7AC94D0586C6E5065D0E14EE"/>
    <w:rsid w:val="00192683"/>
  </w:style>
  <w:style w:type="paragraph" w:customStyle="1" w:styleId="42E77C08E1F7404F9F02D2A573FE350E">
    <w:name w:val="42E77C08E1F7404F9F02D2A573FE350E"/>
    <w:rsid w:val="001926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437C-8927-49FC-B898-47E6889E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26</Pages>
  <Words>4258</Words>
  <Characters>22996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Bruno</cp:lastModifiedBy>
  <cp:revision>37</cp:revision>
  <dcterms:created xsi:type="dcterms:W3CDTF">2009-03-06T03:18:00Z</dcterms:created>
  <dcterms:modified xsi:type="dcterms:W3CDTF">2009-11-22T04:27:00Z</dcterms:modified>
</cp:coreProperties>
</file>