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mplate-zeiss-evo-25"/>
    <w:p>
      <w:pPr>
        <w:pStyle w:val="Heading1"/>
      </w:pPr>
      <w:r>
        <w:t xml:space="preserve">Template ZEISS EVO 25</w:t>
      </w:r>
    </w:p>
    <w:p>
      <w:pPr>
        <w:pStyle w:val="FirstParagraph"/>
      </w:pPr>
      <w:r>
        <w:t xml:space="preserve">By Ivan Calandra</w:t>
      </w:r>
    </w:p>
    <w:bookmarkStart w:id="20" w:name="table-of-content"/>
    <w:p>
      <w:pPr>
        <w:pStyle w:val="Heading2"/>
      </w:pPr>
      <w:r>
        <w:t xml:space="preserve">Table of content</w:t>
      </w:r>
    </w:p>
    <w:p>
      <w:pPr>
        <w:pStyle w:val="Compact"/>
        <w:numPr>
          <w:ilvl w:val="0"/>
          <w:numId w:val="1001"/>
        </w:numPr>
      </w:pPr>
      <w:hyperlink w:anchor="table-of-content">
        <w:r>
          <w:rPr>
            <w:rStyle w:val="Hyperlink"/>
          </w:rPr>
          <w:t xml:space="preserve">Table of content</w:t>
        </w:r>
      </w:hyperlink>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metadata">
        <w:r>
          <w:rPr>
            <w:rStyle w:val="Hyperlink"/>
          </w:rPr>
          <w:t xml:space="preserve">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bookmarkEnd w:id="20"/>
    <w:bookmarkStart w:id="21" w:name="introduction"/>
    <w:p>
      <w:pPr>
        <w:pStyle w:val="Heading2"/>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r>
        <w:br/>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bookmarkEnd w:id="21"/>
    <w:bookmarkStart w:id="30" w:name="what-and-how-to-report"/>
    <w:p>
      <w:pPr>
        <w:pStyle w:val="Heading2"/>
      </w:pPr>
      <w:r>
        <w:t xml:space="preserve">What and how to report</w:t>
      </w:r>
    </w:p>
    <w:bookmarkStart w:id="25" w:name="method-section-of-a-paper"/>
    <w:p>
      <w:pPr>
        <w:pStyle w:val="Heading3"/>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See https://doi.org/10.1016/j.jasrep.2024.104572 for an example.</w:t>
      </w:r>
    </w:p>
    <w:bookmarkStart w:id="22" w:name="sem-documentation"/>
    <w:p>
      <w:pPr>
        <w:pStyle w:val="Heading4"/>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2"/>
    <w:bookmarkStart w:id="23" w:name="eds-measurements"/>
    <w:p>
      <w:pPr>
        <w:pStyle w:val="Heading4"/>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3"/>
    <w:bookmarkStart w:id="24" w:name="commons"/>
    <w:p>
      <w:pPr>
        <w:pStyle w:val="Heading4"/>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bookmarkEnd w:id="24"/>
    <w:bookmarkEnd w:id="25"/>
    <w:bookmarkStart w:id="29" w:name="metadata"/>
    <w:p>
      <w:pPr>
        <w:pStyle w:val="Heading3"/>
      </w:pPr>
      <w:r>
        <w:t xml:space="preserve">Metadata</w:t>
      </w:r>
    </w:p>
    <w:bookmarkStart w:id="26" w:name="general"/>
    <w:p>
      <w:pPr>
        <w:pStyle w:val="Heading4"/>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See https://doi.org/10.5281/zenodo.10074758 for an example.</w:t>
      </w:r>
    </w:p>
    <w:bookmarkEnd w:id="26"/>
    <w:bookmarkStart w:id="27" w:name="sem-images"/>
    <w:p>
      <w:pPr>
        <w:pStyle w:val="Heading4"/>
      </w:pPr>
      <w:r>
        <w:t xml:space="preserve">SEM images</w:t>
      </w:r>
    </w:p>
    <w:p>
      <w:pPr>
        <w:pStyle w:val="Compact"/>
        <w:numPr>
          <w:ilvl w:val="0"/>
          <w:numId w:val="1006"/>
        </w:numPr>
      </w:pPr>
      <w:r>
        <w:t xml:space="preserve">Upload the full-resolution, uncompressed and unedited SEM images in TIF format.</w:t>
      </w:r>
      <w:r>
        <w:br/>
      </w:r>
    </w:p>
    <w:p>
      <w:pPr>
        <w:pStyle w:val="Compact"/>
        <w:numPr>
          <w:ilvl w:val="0"/>
          <w:numId w:val="1006"/>
        </w:numPr>
      </w:pPr>
      <w:r>
        <w:t xml:space="preserve">Specify in the README: “SEM images were acquired with the software SmartSEM v.6.08 from Zeiss. All metadata (acquisition settings) are included in the TIF-files and can be retrieved using e.g. the plugin IMBalENce for ImageJ/Fiji (https://imagej.net/plugins/imbalence).</w:t>
      </w:r>
    </w:p>
    <w:p>
      <w:pPr>
        <w:pStyle w:val="Compact"/>
        <w:numPr>
          <w:ilvl w:val="0"/>
          <w:numId w:val="1006"/>
        </w:numPr>
      </w:pPr>
      <w:r>
        <w:t xml:space="preserve">Also upload the overview images (*_registration.PNG) showing the location of images on the object (red rectangle). Alternatively, share the CZI files of the images calibrated with Shuttle-and-Find (correlative microscopy) and specify the details in the method and/or README.</w:t>
      </w:r>
    </w:p>
    <w:bookmarkEnd w:id="27"/>
    <w:bookmarkStart w:id="28" w:name="eds-data"/>
    <w:p>
      <w:pPr>
        <w:pStyle w:val="Heading4"/>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v2.3.0.997 from Bruker.”</w:t>
      </w:r>
      <w:r>
        <w:br/>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r>
        <w:br/>
      </w:r>
    </w:p>
    <w:p>
      <w:pPr>
        <w:pStyle w:val="Compact"/>
        <w:numPr>
          <w:ilvl w:val="1"/>
          <w:numId w:val="1008"/>
        </w:numPr>
      </w:pPr>
      <w:r>
        <w:t xml:space="preserve">Detail the quantification method (alternatively in the method).</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2024-07-04T14:01:59Z</dcterms:created>
  <dcterms:modified xsi:type="dcterms:W3CDTF">2024-07-04T14:01:59Z</dcterms:modified>
</cp:coreProperties>
</file>

<file path=docProps/custom.xml><?xml version="1.0" encoding="utf-8"?>
<Properties xmlns="http://schemas.openxmlformats.org/officeDocument/2006/custom-properties" xmlns:vt="http://schemas.openxmlformats.org/officeDocument/2006/docPropsVTypes"/>
</file>