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template-zeiss-optical-microscopes"/>
    <w:p>
      <w:pPr>
        <w:pStyle w:val="Heading1"/>
      </w:pPr>
      <w:r>
        <w:t xml:space="preserve">Template ZEISS optical microscopes</w:t>
      </w:r>
    </w:p>
    <w:p>
      <w:pPr>
        <w:pStyle w:val="FirstParagraph"/>
      </w:pPr>
      <w:r>
        <w:t xml:space="preserve">By Ivan Calandra</w:t>
      </w:r>
    </w:p>
    <w:bookmarkStart w:id="20" w:name="table-of-content"/>
    <w:p>
      <w:pPr>
        <w:pStyle w:val="Heading2"/>
      </w:pPr>
      <w:r>
        <w:t xml:space="preserve">Table of content</w:t>
      </w:r>
    </w:p>
    <w:p>
      <w:pPr>
        <w:pStyle w:val="Compact"/>
        <w:numPr>
          <w:ilvl w:val="0"/>
          <w:numId w:val="1001"/>
        </w:numPr>
      </w:pPr>
      <w:hyperlink w:anchor="table-of-content">
        <w:r>
          <w:rPr>
            <w:rStyle w:val="Hyperlink"/>
          </w:rPr>
          <w:t xml:space="preserve">Table of content</w:t>
        </w:r>
      </w:hyperlink>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topography-data">
        <w:r>
          <w:rPr>
            <w:rStyle w:val="Hyperlink"/>
          </w:rPr>
          <w:t xml:space="preserve">Topography data</w:t>
        </w:r>
      </w:hyperlink>
    </w:p>
    <w:bookmarkEnd w:id="20"/>
    <w:bookmarkStart w:id="21" w:name="introduction"/>
    <w:p>
      <w:pPr>
        <w:pStyle w:val="Heading2"/>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p>
    <w:bookmarkEnd w:id="21"/>
    <w:bookmarkStart w:id="36" w:name="what-and-how-to-report"/>
    <w:p>
      <w:pPr>
        <w:pStyle w:val="Heading2"/>
      </w:pPr>
      <w:r>
        <w:t xml:space="preserve">What and how to report</w:t>
      </w:r>
    </w:p>
    <w:bookmarkStart w:id="28" w:name="method-section-of-a-paper"/>
    <w:p>
      <w:pPr>
        <w:pStyle w:val="Heading3"/>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bookmarkStart w:id="22" w:name="widefield-documentation"/>
    <w:p>
      <w:pPr>
        <w:pStyle w:val="Heading4"/>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2"/>
    <w:bookmarkStart w:id="24" w:name="confocal-topography"/>
    <w:p>
      <w:pPr>
        <w:pStyle w:val="Heading4"/>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3">
        <w:r>
          <w:rPr>
            <w:rStyle w:val="Hyperlink"/>
          </w:rPr>
          <w:t xml:space="preserve">https://doi.org/10.1038/s41598-019-42713-w</w:t>
        </w:r>
      </w:hyperlink>
      <w:r>
        <w:t xml:space="preserve"> </w:t>
      </w:r>
      <w:r>
        <w:t xml:space="preserve">for an example.</w:t>
      </w:r>
    </w:p>
    <w:bookmarkEnd w:id="24"/>
    <w:bookmarkStart w:id="25" w:name="correlative-microscopy"/>
    <w:p>
      <w:pPr>
        <w:pStyle w:val="Heading4"/>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5"/>
    <w:bookmarkStart w:id="27" w:name="commons"/>
    <w:p>
      <w:pPr>
        <w:pStyle w:val="Heading4"/>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(see recommendations in the</w:t>
      </w:r>
      <w:r>
        <w:t xml:space="preserve"> </w:t>
      </w:r>
      <w:hyperlink r:id="rId26">
        <w:r>
          <w:rPr>
            <w:rStyle w:val="Hyperlink"/>
          </w:rPr>
          <w:t xml:space="preserve">README</w:t>
        </w:r>
      </w:hyperlink>
      <w:r>
        <w:t xml:space="preserve">).</w:t>
      </w:r>
    </w:p>
    <w:p>
      <w:pPr>
        <w:pStyle w:val="BodyText"/>
      </w:pPr>
    </w:p>
    <w:bookmarkEnd w:id="27"/>
    <w:bookmarkEnd w:id="28"/>
    <w:bookmarkStart w:id="35" w:name="data-metadata"/>
    <w:p>
      <w:pPr>
        <w:pStyle w:val="Heading3"/>
      </w:pPr>
      <w:r>
        <w:t xml:space="preserve">Data &amp; Metadata</w:t>
      </w:r>
    </w:p>
    <w:bookmarkStart w:id="29" w:name="general"/>
    <w:p>
      <w:pPr>
        <w:pStyle w:val="Heading4"/>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p>
    <w:bookmarkEnd w:id="29"/>
    <w:bookmarkStart w:id="32" w:name="widefield-images"/>
    <w:p>
      <w:pPr>
        <w:pStyle w:val="Heading4"/>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overview/preivew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w:t>
      </w:r>
      <w:r>
        <w:t xml:space="preserve"> </w:t>
      </w:r>
      <w:hyperlink r:id="rId30">
        <w:r>
          <w:rPr>
            <w:rStyle w:val="Hyperlink"/>
          </w:rPr>
          <w:t xml:space="preserve">Bio-Formats plugin for ImageJ/Fiji</w:t>
        </w:r>
      </w:hyperlink>
      <w:r>
        <w:t xml:space="preserve"> </w:t>
      </w:r>
      <w:r>
        <w:t xml:space="preserve">or</w:t>
      </w:r>
      <w:r>
        <w:t xml:space="preserve"> </w:t>
      </w:r>
      <w:hyperlink r:id="rId31">
        <w:r>
          <w:rPr>
            <w:rStyle w:val="Hyperlink"/>
          </w:rPr>
          <w:t xml:space="preserve">Zeiss ZEN</w:t>
        </w:r>
      </w:hyperlink>
      <w:r>
        <w:t xml:space="preserve"> </w:t>
      </w:r>
      <w:r>
        <w:t xml:space="preserve">software.</w:t>
      </w:r>
    </w:p>
    <w:bookmarkEnd w:id="32"/>
    <w:bookmarkStart w:id="34" w:name="topography-data"/>
    <w:p>
      <w:pPr>
        <w:pStyle w:val="Heading4"/>
      </w:pPr>
      <w:r>
        <w:t xml:space="preserve">Topography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FirstParagraph"/>
      </w:pPr>
      <w:r>
        <w:t xml:space="preserve">See</w:t>
      </w:r>
      <w:r>
        <w:t xml:space="preserve"> </w:t>
      </w:r>
      <w:hyperlink r:id="rId33">
        <w:r>
          <w:rPr>
            <w:rStyle w:val="Hyperlink"/>
          </w:rPr>
          <w:t xml:space="preserve">https://doi.org/10.5281/zenodo.6645445</w:t>
        </w:r>
      </w:hyperlink>
      <w:r>
        <w:t xml:space="preserve"> </w:t>
      </w:r>
      <w:r>
        <w:t xml:space="preserve">for an example (although the information was added as a description rather than a README file).</w:t>
      </w:r>
    </w:p>
    <w:bookmarkEnd w:id="34"/>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README.md#processing" TargetMode="External" /><Relationship Type="http://schemas.openxmlformats.org/officeDocument/2006/relationships/hyperlink" Id="rId30" Target="https://docs.openmicroscopy.org/bio-formats/5.8.2/users/imagej/installing.html" TargetMode="External" /><Relationship Type="http://schemas.openxmlformats.org/officeDocument/2006/relationships/hyperlink" Id="rId23" Target="https://doi.org/10.1038/s41598-019-42713-w" TargetMode="External" /><Relationship Type="http://schemas.openxmlformats.org/officeDocument/2006/relationships/hyperlink" Id="rId33" Target="https://doi.org/10.5281/zenodo.6645445" TargetMode="External" /><Relationship Type="http://schemas.openxmlformats.org/officeDocument/2006/relationships/hyperlink" Id="rId31" Target="https://www.zeiss.com/microscopy/en/products/software/zeiss-zen.html" TargetMode="External" /></Relationships>
</file>

<file path=word/_rels/footnotes.xml.rels><?xml version="1.0" encoding="UTF-8"?><Relationships xmlns="http://schemas.openxmlformats.org/package/2006/relationships"><Relationship Type="http://schemas.openxmlformats.org/officeDocument/2006/relationships/hyperlink" Id="rId26" Target="/README.md#processing" TargetMode="External" /><Relationship Type="http://schemas.openxmlformats.org/officeDocument/2006/relationships/hyperlink" Id="rId30" Target="https://docs.openmicroscopy.org/bio-formats/5.8.2/users/imagej/installing.html" TargetMode="External" /><Relationship Type="http://schemas.openxmlformats.org/officeDocument/2006/relationships/hyperlink" Id="rId23" Target="https://doi.org/10.1038/s41598-019-42713-w" TargetMode="External" /><Relationship Type="http://schemas.openxmlformats.org/officeDocument/2006/relationships/hyperlink" Id="rId33" Target="https://doi.org/10.5281/zenodo.6645445" TargetMode="External" /><Relationship Type="http://schemas.openxmlformats.org/officeDocument/2006/relationships/hyperlink" Id="rId31" Target="https://www.zeiss.com/microscopy/en/products/software/zeiss-z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2024-07-04T15:40:34Z</dcterms:created>
  <dcterms:modified xsi:type="dcterms:W3CDTF">2024-07-04T15:40:34Z</dcterms:modified>
</cp:coreProperties>
</file>

<file path=docProps/custom.xml><?xml version="1.0" encoding="utf-8"?>
<Properties xmlns="http://schemas.openxmlformats.org/officeDocument/2006/custom-properties" xmlns:vt="http://schemas.openxmlformats.org/officeDocument/2006/docPropsVTypes"/>
</file>