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1.</w:t>
      </w:r>
    </w:p>
    <w:p w:rsidR="00000000" w:rsidDel="00000000" w:rsidP="00000000" w:rsidRDefault="00000000" w:rsidRPr="00000000" w14:paraId="00000002">
      <w:pPr>
        <w:spacing w:after="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1080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 – 67</w:t>
      </w:r>
    </w:p>
    <w:p w:rsidR="00000000" w:rsidDel="00000000" w:rsidP="00000000" w:rsidRDefault="00000000" w:rsidRPr="00000000" w14:paraId="00000004">
      <w:pPr>
        <w:spacing w:after="0" w:lineRule="auto"/>
        <w:ind w:hanging="28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Символов (без пробелов) – 539 </w:t>
      </w:r>
    </w:p>
    <w:p w:rsidR="00000000" w:rsidDel="00000000" w:rsidP="00000000" w:rsidRDefault="00000000" w:rsidRPr="00000000" w14:paraId="00000005">
      <w:pPr>
        <w:spacing w:after="0" w:lineRule="auto"/>
        <w:ind w:hanging="28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Символов (с пробелами) – 605 </w:t>
      </w:r>
    </w:p>
    <w:p w:rsidR="00000000" w:rsidDel="00000000" w:rsidP="00000000" w:rsidRDefault="00000000" w:rsidRPr="00000000" w14:paraId="00000006">
      <w:pPr>
        <w:spacing w:after="0" w:lineRule="auto"/>
        <w:ind w:hanging="284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Символов в латинской графике – 93</w:t>
      </w:r>
    </w:p>
    <w:p w:rsidR="00000000" w:rsidDel="00000000" w:rsidP="00000000" w:rsidRDefault="00000000" w:rsidRPr="00000000" w14:paraId="00000007">
      <w:pPr>
        <w:spacing w:after="0" w:lineRule="auto"/>
        <w:ind w:hanging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Чисел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(цифр 6)</w:t>
      </w:r>
    </w:p>
    <w:p w:rsidR="00000000" w:rsidDel="00000000" w:rsidP="00000000" w:rsidRDefault="00000000" w:rsidRPr="00000000" w14:paraId="00000008">
      <w:pPr>
        <w:spacing w:after="0" w:lineRule="auto"/>
        <w:ind w:hanging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Средняя длина слов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8.04477612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Средняя длина слов русского языка – 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Средняя длина слов в латинской графике – 5.79569892</w:t>
      </w:r>
    </w:p>
    <w:p w:rsidR="00000000" w:rsidDel="00000000" w:rsidP="00000000" w:rsidRDefault="00000000" w:rsidRPr="00000000" w14:paraId="0000000C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Русскому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.73228346456688" w:hanging="425.1968503937007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а) Ø – норвежский; ö ß – немецкий; ρ ω – греческий; ё – русский; š – чешский </w:t>
      </w:r>
    </w:p>
    <w:p w:rsidR="00000000" w:rsidDel="00000000" w:rsidP="00000000" w:rsidRDefault="00000000" w:rsidRPr="00000000" w14:paraId="0000000F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б) th – английский; sch – немецкий; šč – чешский </w:t>
      </w:r>
    </w:p>
    <w:p w:rsidR="00000000" w:rsidDel="00000000" w:rsidP="00000000" w:rsidRDefault="00000000" w:rsidRPr="00000000" w14:paraId="00000010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в) et – французский; the – английский; der – немецкий; och – шведский; için – турецкий</w:t>
      </w:r>
    </w:p>
    <w:p w:rsidR="00000000" w:rsidDel="00000000" w:rsidP="00000000" w:rsidRDefault="00000000" w:rsidRPr="00000000" w14:paraId="00000011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4) </w:t>
      </w:r>
    </w:p>
    <w:tbl>
      <w:tblPr>
        <w:tblStyle w:val="Table1"/>
        <w:tblW w:w="861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2552"/>
        <w:gridCol w:w="2693"/>
        <w:tblGridChange w:id="0">
          <w:tblGrid>
            <w:gridCol w:w="3369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Английский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Немецкий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Типичные артикли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a/an, the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die, der, des, das, dem,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Указательные местоимения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this, that, those, these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der, dieser, jener, solcher, es, selbst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Местоимения 3-го 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he, she, it, they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er, sie, es, sie, Sie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Отдельные формы вспомогательных глаголов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do/does, is/am/are, have/has; did, was/were, had; will, will be, will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haben, sein, warden; hatte, war, wurde; gehabt, gewesen, geworden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предлоги и союзы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in, on, of, after, for, until, with, if, because, at, so, as, that, by, since,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right="-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mit, nah, aus, zu, von, an, seit, bis, in, ohne, bei,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über, für, 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 частотные слова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have, see, know, say, can, get, make, time, take, think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das Leben, lesen, machen, denken, reisen, spielen, warten, werden, wohnen, das Alter, wollen, die Eltern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5) </w:t>
      </w:r>
    </w:p>
    <w:tbl>
      <w:tblPr>
        <w:tblStyle w:val="Table2"/>
        <w:tblW w:w="9345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Русский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Типичные артикли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Указательные местоимения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тот, этот, такой, таков, столько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Местоимения 3-го лица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он, она, оно, они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Отдельные формы вспомогательных глаголов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начать, уметь, любить, рад, иметь желание, стать, успеть, нравиться, должен, готов, обязан, достоин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предлоги и союзы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в, к, с, от, над, под, через, про, у, на, около, по, и, а, но, да, если, как, так, тоже, то, чтобы, потому что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 частотные слова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я, быть, он, она, они, мочь, год, тот, человек, сказать, быть, себя, один, ещё, уже, говорить, мой, знать, жизнь, два, другой, очень, первый, раз, где</w:t>
            </w:r>
          </w:p>
        </w:tc>
      </w:tr>
    </w:tbl>
    <w:p w:rsidR="00000000" w:rsidDel="00000000" w:rsidP="00000000" w:rsidRDefault="00000000" w:rsidRPr="00000000" w14:paraId="00000037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4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6) Прилагательные на эсперанто имеют одно и то же окончание “…a”, а существительные “…o” </w:t>
      </w:r>
    </w:p>
    <w:p w:rsidR="00000000" w:rsidDel="00000000" w:rsidP="00000000" w:rsidRDefault="00000000" w:rsidRPr="00000000" w14:paraId="00000039">
      <w:pPr>
        <w:ind w:left="-284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1. Лингвистическая защита информации – нахождение закономерностей и частотности, шифровка, дешифровка текстов</w:t>
      </w:r>
    </w:p>
    <w:p w:rsidR="00000000" w:rsidDel="00000000" w:rsidP="00000000" w:rsidRDefault="00000000" w:rsidRPr="00000000" w14:paraId="0000003A">
      <w:pPr>
        <w:ind w:left="-284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2. Прикладную и компьютерную лингвистику нельзя считать синонимами, так как компьютерная лингвистика входит в прикладную. Также компьютерная лингвистика решает конкретную прикладную задачу, к примеру, автоматизация, в отличии от прикладной, которая решает какие угодно прикладные задачи с использованием знания о языке. Помимо этого, в компьютерной лингвистике требуется знание в машинном обучении, следовательно её от прикладной лингвистики и отличает эта компьютерная составляющая.</w:t>
      </w:r>
    </w:p>
    <w:p w:rsidR="00000000" w:rsidDel="00000000" w:rsidP="00000000" w:rsidRDefault="00000000" w:rsidRPr="00000000" w14:paraId="0000003B">
      <w:pPr>
        <w:ind w:left="-284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3. Основные направления компьютерной лингвистики: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Информационный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Машинный перевод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Чат-боты и диалоговые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Анализ текста (Text Mining)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Создание лингвистических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Синтез, распознавание речи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6" w:right="0" w:hanging="360"/>
        <w:jc w:val="left"/>
        <w:rPr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Анализ тональностей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6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0"/>
        </w:rPr>
        <w:t xml:space="preserve">Создание лингвистических ресурсов.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Лингвистические ресурсы подразделяются на лексические и текстовые.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Лексические ресурсы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– словари (термин не имеет однозначности), тезаурусы (семантический словарь, в котором представлены разные смысловые связи (отношение род-вид, часть-целое, синонимы, ассоциации; к примеру, стол – разновидность мебели)) и онтологии – набор понятий определённой области знаний, который ориентирован на многократное использование для различных задач, отличие от тезауруса в узконаправленности, также онтологии часто могут быть представлены в виде графа.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Текстовые ресурсы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– корпуса (массив текстов, собранный по определённому принципу и обладающий лингвистической разметкой (присвоение тегов).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Свойства корпуса – репрезентативность (разнообразие явлений в текстах (обработка текстов в Твиттере и Вк)), сбалансированность.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Разметка может быть экстралингвистическая (частое размечание про текст и о тексте (об авторе, жанр, дата написания), структурная (разметка глав, абзацев, предложений), собственно-лингвистическая (морфологическая, разметка по части речи; синтаксическая, связь между словами; семантическая, значения тех или иных слов, где цвета, где запахи; анафорическая, к какому слову относится местоимение, прописываем, где возникает анафора).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 точки зрения компьютерной грамматики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омашка” будет лишним, так как начинается на Р;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 точки зрения компьютерной семантики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слово 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Липа” будет лишним, так как это дерево, а остальное цветы.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An = прилагательное; Nn = существительное в именительном падеже</w:t>
        <w:tab/>
        <w:t xml:space="preserve">; Ng = существительное в единственном числе родительного падежа; N(A)n = существительное, образованное от прилагательного; N(V)n = существительное, образованное от глагола; V = глагол; D = наречие.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 N1nN2g ↔ A(N2)nN1n, AnN1 ↔ N(A)nN1g, V из Ng ↔ N(V)n из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 а) Яблоко из магазина ↔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u w:val="none"/>
          <w:shd w:fill="auto" w:val="clear"/>
          <w:vertAlign w:val="baseline"/>
          <w:rtl w:val="0"/>
        </w:rPr>
        <w:t xml:space="preserve"> Магазинное яблоко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 б) Трудолюбивый студент переписал аккуратно плохую курсовую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