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ck1ejhtrzrx" w:id="0"/>
      <w:bookmarkEnd w:id="0"/>
      <w:r w:rsidDel="00000000" w:rsidR="00000000" w:rsidRPr="00000000">
        <w:rPr>
          <w:rtl w:val="0"/>
        </w:rPr>
        <w:t xml:space="preserve">ComfyChair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4plcc8u3dkor" w:id="1"/>
      <w:bookmarkEnd w:id="1"/>
      <w:r w:rsidDel="00000000" w:rsidR="00000000" w:rsidRPr="00000000">
        <w:rPr>
          <w:rtl w:val="0"/>
        </w:rPr>
        <w:t xml:space="preserve">Trabajo Práctico - TyH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quiere desarrollar un sistema llamado ComfyChair para organizar conferencias científicas, particularmente el proceso de envío y revisión de artículos.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sistema debe permitir crear </w:t>
      </w:r>
      <w:r w:rsidDel="00000000" w:rsidR="00000000" w:rsidRPr="00000000">
        <w:rPr>
          <w:b w:val="1"/>
          <w:rtl w:val="0"/>
        </w:rPr>
        <w:t xml:space="preserve">conferencias</w:t>
      </w:r>
      <w:r w:rsidDel="00000000" w:rsidR="00000000" w:rsidRPr="00000000">
        <w:rPr>
          <w:rtl w:val="0"/>
        </w:rPr>
        <w:t xml:space="preserve">, cada una con </w:t>
      </w:r>
      <w:r w:rsidDel="00000000" w:rsidR="00000000" w:rsidRPr="00000000">
        <w:rPr>
          <w:rtl w:val="0"/>
        </w:rPr>
        <w:t xml:space="preserve">sus </w:t>
      </w:r>
      <w:r w:rsidDel="00000000" w:rsidR="00000000" w:rsidRPr="00000000">
        <w:rPr>
          <w:b w:val="1"/>
          <w:rtl w:val="0"/>
        </w:rPr>
        <w:t xml:space="preserve">chairs</w:t>
      </w:r>
      <w:r w:rsidDel="00000000" w:rsidR="00000000" w:rsidRPr="00000000">
        <w:rPr>
          <w:rtl w:val="0"/>
        </w:rPr>
        <w:t xml:space="preserve"> (organizadores)</w:t>
      </w:r>
      <w:r w:rsidDel="00000000" w:rsidR="00000000" w:rsidRPr="00000000">
        <w:rPr>
          <w:rtl w:val="0"/>
        </w:rPr>
        <w:t xml:space="preserve"> y su comité de programa (grupo de </w:t>
      </w:r>
      <w:r w:rsidDel="00000000" w:rsidR="00000000" w:rsidRPr="00000000">
        <w:rPr>
          <w:b w:val="1"/>
          <w:rtl w:val="0"/>
        </w:rPr>
        <w:t xml:space="preserve">revisores</w:t>
      </w:r>
      <w:r w:rsidDel="00000000" w:rsidR="00000000" w:rsidRPr="00000000">
        <w:rPr>
          <w:rtl w:val="0"/>
        </w:rPr>
        <w:t xml:space="preserve">). También estarán los </w:t>
      </w:r>
      <w:r w:rsidDel="00000000" w:rsidR="00000000" w:rsidRPr="00000000">
        <w:rPr>
          <w:b w:val="1"/>
          <w:rtl w:val="0"/>
        </w:rPr>
        <w:t xml:space="preserve">autores</w:t>
      </w:r>
      <w:r w:rsidDel="00000000" w:rsidR="00000000" w:rsidRPr="00000000">
        <w:rPr>
          <w:rtl w:val="0"/>
        </w:rPr>
        <w:t xml:space="preserve"> de los artículos. Todos ellos (chairs, revisores, autores) son en realidad usuarios registrados en ComfyChair con la misma información, solo que pueden ocupar diferentes roles; es decir, un autor también puede ser revisor o chair. De cada usuario se sabe su nombre completo, afiliación (por ejemplo, UNLP, o alguna empresa), email y contraseña.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conferencia está organizada en sesiones</w:t>
      </w:r>
      <w:r w:rsidDel="00000000" w:rsidR="00000000" w:rsidRPr="00000000">
        <w:rPr>
          <w:rtl w:val="0"/>
        </w:rPr>
        <w:t xml:space="preserve"> (también conocido como track) en donde se aborda un tema en particular (por ejemplo, en una conferencia de Informática podríamos tener Ingeniería de Software, IA, o BigData ). A cada sesión de la conferencia se envían artículos de dos tipos: regulares o posters. Todos tienen un título y un archivo adjunto (del cual se guarda una URL), pero los regulares tienen además un </w:t>
      </w:r>
      <w:r w:rsidDel="00000000" w:rsidR="00000000" w:rsidRPr="00000000">
        <w:rPr>
          <w:i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(resumen), y los posters un segundo archivo adjunto (de nuevo, una URL) con los fuentes. Para todos los artículos se conoce al grupo de autores, y en particular cuál es el autor encargado de las notificaciones, todos usuarios registrados en ComfyChair.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Toda sesión de la conferencia pasa por un proceso: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Recepción: </w:t>
      </w:r>
      <w:r w:rsidDel="00000000" w:rsidR="00000000" w:rsidRPr="00000000">
        <w:rPr>
          <w:rtl w:val="0"/>
        </w:rPr>
        <w:t xml:space="preserve">Durante este estado, se pueden enviar artículos al evento. Luego del envío por parte de los autores </w:t>
      </w:r>
      <w:r w:rsidDel="00000000" w:rsidR="00000000" w:rsidRPr="00000000">
        <w:rPr>
          <w:rtl w:val="0"/>
        </w:rPr>
        <w:t xml:space="preserve">se revisa su formato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los </w:t>
      </w:r>
      <w:r w:rsidDel="00000000" w:rsidR="00000000" w:rsidRPr="00000000">
        <w:rPr>
          <w:b w:val="1"/>
          <w:rtl w:val="0"/>
        </w:rPr>
        <w:t xml:space="preserve">artículos regulares</w:t>
      </w:r>
      <w:r w:rsidDel="00000000" w:rsidR="00000000" w:rsidRPr="00000000">
        <w:rPr>
          <w:rtl w:val="0"/>
        </w:rPr>
        <w:t xml:space="preserve">, se valida que tengan un abstract de menos de 300 palabras y el título y autores estén cargados (al menos un autor).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posters</w:t>
      </w:r>
      <w:r w:rsidDel="00000000" w:rsidR="00000000" w:rsidRPr="00000000">
        <w:rPr>
          <w:rtl w:val="0"/>
        </w:rPr>
        <w:t xml:space="preserve"> se validan de igual manera pero no se considera el abstract.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si no se cumple con estos requisitos, se rechaza - es decir que no pasa a la siguiente etapa. La etapa de recepción de artículos finaliza automáticamente en una fecha determinada (deadline) que puede ser diferente para cada sesión. Los envíos pueden modificarse hasta entonces.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Bidding:</w:t>
      </w:r>
      <w:r w:rsidDel="00000000" w:rsidR="00000000" w:rsidRPr="00000000">
        <w:rPr>
          <w:rtl w:val="0"/>
        </w:rPr>
        <w:t xml:space="preserve"> los artículos en revisión pasan por un proceso de </w:t>
      </w:r>
      <w:r w:rsidDel="00000000" w:rsidR="00000000" w:rsidRPr="00000000">
        <w:rPr>
          <w:i w:val="1"/>
          <w:rtl w:val="0"/>
        </w:rPr>
        <w:t xml:space="preserve">bidding</w:t>
      </w:r>
      <w:r w:rsidDel="00000000" w:rsidR="00000000" w:rsidRPr="00000000">
        <w:rPr>
          <w:rtl w:val="0"/>
        </w:rPr>
        <w:t xml:space="preserve">. En este punto, los revisores expresan si están o no interesados en revisarlo. Además de “interesado”/”no interesado” existe también un “quizás”. El proceso completo de bidding y asignación de artículos será explicado aparte. Durante esta instancia, no se aceptan más artículos.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Asignación y Revisión:</w:t>
      </w:r>
      <w:r w:rsidDel="00000000" w:rsidR="00000000" w:rsidRPr="00000000">
        <w:rPr>
          <w:rtl w:val="0"/>
        </w:rPr>
        <w:t xml:space="preserve"> una vez finalizado el proceso de </w:t>
      </w:r>
      <w:r w:rsidDel="00000000" w:rsidR="00000000" w:rsidRPr="00000000">
        <w:rPr>
          <w:i w:val="1"/>
          <w:rtl w:val="0"/>
        </w:rPr>
        <w:t xml:space="preserve">bidding</w:t>
      </w:r>
      <w:r w:rsidDel="00000000" w:rsidR="00000000" w:rsidRPr="00000000">
        <w:rPr>
          <w:rtl w:val="0"/>
        </w:rPr>
        <w:t xml:space="preserve">, los artículos se asignan a los revisores. Cada revisor emite una revisión con una recomendación que es una calificación entre -3 y +3 (incluyendo el 0). Durante esta instancia, no se aceptan más artículos.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Selección: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inalizadas las revisiones, se pasa al proceso de selección: los artículos con mejores recomendaciones pasan a estar aceptados, y el resto se rechaza. El número máximo de artículos a aceptar está definido en cada sesión. El número final aceptado puede ser menor.</w:t>
      </w:r>
      <w:r w:rsidDel="00000000" w:rsidR="00000000" w:rsidRPr="00000000">
        <w:rPr>
          <w:rtl w:val="0"/>
        </w:rPr>
        <w:t xml:space="preserve"> Más adelante se describen detalles adicionales sobre este proceso. Durante esta instancia, no se aceptan más artículos.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 Bidding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Durante el proceso de paper bidding mencionado anteriormente se reciben “bids” que expresan el interés de los revisores. </w:t>
      </w:r>
      <w:r w:rsidDel="00000000" w:rsidR="00000000" w:rsidRPr="00000000">
        <w:rPr>
          <w:rtl w:val="0"/>
        </w:rPr>
        <w:t xml:space="preserve">Éstos no tienen la obligación de expresar interés, pero en ese caso se les asignan los artículos aleatoriamente, o según la necesid</w:t>
      </w:r>
      <w:r w:rsidDel="00000000" w:rsidR="00000000" w:rsidRPr="00000000">
        <w:rPr>
          <w:rtl w:val="0"/>
        </w:rPr>
        <w:t xml:space="preserve">ad de los chairs. Los revisores pueden cambiar de opinión respecto a un </w:t>
      </w:r>
      <w:r w:rsidDel="00000000" w:rsidR="00000000" w:rsidRPr="00000000">
        <w:rPr>
          <w:i w:val="1"/>
          <w:rtl w:val="0"/>
        </w:rPr>
        <w:t xml:space="preserve">bid</w:t>
      </w:r>
      <w:r w:rsidDel="00000000" w:rsidR="00000000" w:rsidRPr="00000000">
        <w:rPr>
          <w:rtl w:val="0"/>
        </w:rPr>
        <w:t xml:space="preserve">, es decir, pueden pasar de “interesado” a “quizás” o cualquier otro tipo de interés para un mismo paper. Al cerrarse el proceso de bidding, se asignan los revisores a los artículos, y siempre debe haber 3 revisores por artículo. Esto implica que se necesita un número total de revisiones igual al triple del número de artículos - ej. si se enviaron 10 artículos, se necesitan 30 revisiones. Esto impacta en el número de revisiones que se le pide a cada revisor: siguiendo con el ejemplo, si hay 10 artículos (30 revisiones) y 5 revisores, cada uno deberá revisar 6 artículos (5 revisores * 6 = 30 revisiones). Si el número no es redondo, puede ser que algunos revisores reciban más artículos que otros. Siguiendo con el ejemplo, si en lugar de 5 revisores hubiera 7, 5 de ellos revisarán 4 artículos (20 revisiones) y 2 de ellos 5 (10 revisiones).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Asignación y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La asignación se realiza de la siguiente manera: para cada artículo, se buscan revisores que no hayan llegado al límite de revisiones. De éstos se asignan primero los que se marcaron “interesado”, si no se llega a 3, se buscan entre los “quizás”. Si aún no se llegó a los 3, se busca entre los que no indicaron interés alguno, y si no hay se recurre finalmente a los “no interesado”. </w:t>
      </w:r>
      <w:r w:rsidDel="00000000" w:rsidR="00000000" w:rsidRPr="00000000">
        <w:rPr>
          <w:rtl w:val="0"/>
        </w:rPr>
        <w:t xml:space="preserve">Luego de la asignación, los revisores ingresan sus revisiones para cada artículo. Una revisión tiene un texto y un puntaje que va de -3 a 3 incluyendo el 0. Los artículos no deben admitir más de 3 revisiones.</w:t>
      </w:r>
    </w:p>
    <w:p w:rsidR="00000000" w:rsidDel="00000000" w:rsidP="00000000" w:rsidRDefault="00000000" w:rsidRPr="00000000" w14:paraId="00000017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Selección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Una vez cargadas todas las revisiones, se seleccionan los artículos considerando la calificación de los revisores. Hay </w:t>
      </w:r>
      <w:r w:rsidDel="00000000" w:rsidR="00000000" w:rsidRPr="00000000">
        <w:rPr>
          <w:rtl w:val="0"/>
        </w:rPr>
        <w:t xml:space="preserve">dos maneras</w:t>
      </w:r>
      <w:r w:rsidDel="00000000" w:rsidR="00000000" w:rsidRPr="00000000">
        <w:rPr>
          <w:rtl w:val="0"/>
        </w:rPr>
        <w:t xml:space="preserve"> de hacer esto: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Corte fijo: la conferencia acepta solo un porcentaje de los envíos, y se aceptan en orden decreciente de puntaje hasta completar ese porcentaje.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Mejores: la conferencia acepta todos los artículos que tienen puntaje superior a un número a definir.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se descarta en el futuro contar con otras formas de selección.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Cada sesión puede definir su manera de seleccionar, o incluso cambiarla (por ejemplo, si al utilizar el corte fijo quedan muchos artículos de bajo puntaje).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Extensión (punto extra)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Una sesión puede ser </w:t>
      </w:r>
      <w:r w:rsidDel="00000000" w:rsidR="00000000" w:rsidRPr="00000000">
        <w:rPr>
          <w:b w:val="1"/>
          <w:rtl w:val="0"/>
        </w:rPr>
        <w:t xml:space="preserve">regular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workshop</w:t>
      </w:r>
      <w:r w:rsidDel="00000000" w:rsidR="00000000" w:rsidRPr="00000000">
        <w:rPr>
          <w:rtl w:val="0"/>
        </w:rPr>
        <w:t xml:space="preserve">, o de </w:t>
      </w:r>
      <w:r w:rsidDel="00000000" w:rsidR="00000000" w:rsidRPr="00000000">
        <w:rPr>
          <w:b w:val="1"/>
          <w:rtl w:val="0"/>
        </w:rPr>
        <w:t xml:space="preserve">posters</w:t>
      </w:r>
      <w:r w:rsidDel="00000000" w:rsidR="00000000" w:rsidRPr="00000000">
        <w:rPr>
          <w:rtl w:val="0"/>
        </w:rPr>
        <w:t xml:space="preserve">. La diferencia radica en la forma de tratar los artículos. Las sesiones regulares admiten solamente artículos regulares, los workshops admiten regulares y posters, y las sesiones de posters solo reciben posters.</w:t>
      </w:r>
      <w:r w:rsidDel="00000000" w:rsidR="00000000" w:rsidRPr="00000000">
        <w:rPr>
          <w:rtl w:val="0"/>
        </w:rPr>
        <w:t xml:space="preserve"> En el caso de las sesiones de workshop, hay que considerar que el criterio de selección se define para cada tipo de paper por separado.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zd54viqisga3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Aclaraciones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Evitar el uso de expresiones lambda o funciones anónimas, salvo para la API de colecciones.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 se utilizan patrones de diseño para la solución, documentarlos.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un </w:t>
      </w:r>
      <w:r w:rsidDel="00000000" w:rsidR="00000000" w:rsidRPr="00000000">
        <w:rPr>
          <w:b w:val="1"/>
          <w:rtl w:val="0"/>
        </w:rPr>
        <w:t xml:space="preserve">diagrama de clases</w:t>
      </w:r>
      <w:r w:rsidDel="00000000" w:rsidR="00000000" w:rsidRPr="00000000">
        <w:rPr>
          <w:rtl w:val="0"/>
        </w:rPr>
        <w:t xml:space="preserve"> con la solución.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documento que indique cualquier tipo de toma de decisiones sobre el enunciado.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Implementar la solución en NodeJS</w:t>
      </w:r>
      <w:r w:rsidDel="00000000" w:rsidR="00000000" w:rsidRPr="00000000">
        <w:rPr>
          <w:rtl w:val="0"/>
        </w:rPr>
        <w:t xml:space="preserve"> utilizando el paradigma de orientación a objetos.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b w:val="1"/>
          <w:rtl w:val="0"/>
        </w:rPr>
        <w:t xml:space="preserve">s de unidad</w:t>
      </w:r>
      <w:r w:rsidDel="00000000" w:rsidR="00000000" w:rsidRPr="00000000">
        <w:rPr>
          <w:rtl w:val="0"/>
        </w:rPr>
        <w:t xml:space="preserve"> para probar la solución con una cobertura mínima del  80% del código.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GitHub y se evaluará la contribución de cada miembro. Compartir los proyectos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matiasurbieta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