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27EED1A0" wp14:textId="77777777">
      <w:pPr>
        <w:pStyle w:val="Normal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</w:t>
      </w:r>
    </w:p>
    <w:p xmlns:wp14="http://schemas.microsoft.com/office/word/2010/wordml" w14:paraId="15234355" wp14:textId="77777777">
      <w:pPr>
        <w:pStyle w:val="Normal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дипломной работы</w:t>
      </w:r>
    </w:p>
    <w:p xmlns:wp14="http://schemas.microsoft.com/office/word/2010/wordml" w14:paraId="11363466" wp14:textId="1B6DEADC">
      <w:pPr>
        <w:pStyle w:val="Normal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«Исследование генных сетей, ассоциированных с семейной гиперхолестеринемией с помощью онлайн-инструментов биоинформатики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» </w:t>
      </w:r>
      <w:r>
        <w:br/>
      </w:r>
      <w:r w:rsidRPr="22EBF7F6" w:rsidR="22EBF7F6">
        <w:rPr>
          <w:rFonts w:ascii="Times New Roman" w:hAnsi="Times New Roman" w:cs="Times New Roman"/>
          <w:sz w:val="24"/>
          <w:szCs w:val="24"/>
        </w:rPr>
        <w:t>студента 5 курса 09–01 группы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Гориченко Ивана Вадимовича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68BA6F18" wp14:textId="43815E8A">
      <w:pPr>
        <w:pStyle w:val="Normal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Актуальность темы исследования</w:t>
      </w:r>
      <w:r>
        <w:br/>
      </w:r>
      <w:r w:rsidRPr="22EBF7F6" w:rsidR="22EBF7F6">
        <w:rPr>
          <w:rFonts w:ascii="Times New Roman" w:hAnsi="Times New Roman" w:cs="Times New Roman"/>
          <w:sz w:val="24"/>
          <w:szCs w:val="24"/>
        </w:rPr>
        <w:t>Семейная гиперхолестеринемия (СГХС) - наследственное заболевание, которое вызывает высокий уровень холестерина липопротеинов низкой плотности (ЛПНП), начиная с рождения. Также является причиной сердечных приступов в раннем возрасте.</w:t>
      </w:r>
    </w:p>
    <w:p xmlns:wp14="http://schemas.microsoft.com/office/word/2010/wordml" w14:paraId="35CCEC6E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Холестерин, переносимый ЛПНП, иногда называют "плохим холестерином". Высокий уровень холестерина ЛПНП в крови увеличивает риск сердечных приступов и сердечных заболеваний.</w:t>
      </w:r>
    </w:p>
    <w:p xmlns:wp14="http://schemas.microsoft.com/office/word/2010/wordml" w14:paraId="0C21E317" wp14:textId="513F18F5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22EBF7F6" w:rsidR="22EBF7F6">
        <w:rPr>
          <w:rFonts w:ascii="Times New Roman" w:hAnsi="Times New Roman" w:cs="Times New Roman"/>
          <w:sz w:val="24"/>
          <w:szCs w:val="24"/>
        </w:rPr>
        <w:t xml:space="preserve">Согласно клиническим рекомендациям Минздрава РФ ("Клинические рекомендации "Семейная гиперхолестеринемия" (утв. Минздравом России)) распространенность гетерозиготной СГХС в мире составляет 1 на 250 человек. По данным недавнего эпидемиологического исследования, проведенного в двух регионах Российской Федерации, распространенность СГХС составляет 1 на 108 человек. Распространенность гомозиготной СГХС - значительно меньше (1 на 300 тыс. - 1 </w:t>
      </w:r>
      <w:r w:rsidRPr="22EBF7F6" w:rsidR="22EBF7F6">
        <w:rPr>
          <w:rFonts w:ascii="Times New Roman" w:hAnsi="Times New Roman" w:cs="Times New Roman"/>
          <w:sz w:val="24"/>
          <w:szCs w:val="24"/>
        </w:rPr>
        <w:t>млн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человек). СГХС является причиной развития инфаркта миокарда до 45 лет в 20% случаев. Пациенты с СГХС имеют также повышенный риск преждевременной смерти. У мужчин, больных гетерозиготной СГХС, в случае отсутствия лечения ишемическая болезнь сердца развивается к 30 годам у 5,4%, к 50 годам - 51,4%, к 60 годам - 85,4%, а у женщин к 60 годам - у 53,3%. Согласно докладу «Всемирной организации здравоохранения» (1997), 50% мужчин с гетерозиготной СГХС умирают в возрасте до 60 лет из-за ишемической болезни сердца. В России продолжительность жизни у мужчин с гетерозиготной СГХС - 53 года, у женщин 62 года. У нелеченых пациентов с гомозиготной СГХС атеросклероз развивается в возрасте до 20 лет, и продолжительность жизни составляет не более 30 лет.</w:t>
      </w:r>
    </w:p>
    <w:p xmlns:wp14="http://schemas.microsoft.com/office/word/2010/wordml" w14:paraId="0EF928EC" wp14:textId="7237223B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22EBF7F6" w:rsidR="22EBF7F6">
        <w:rPr>
          <w:rFonts w:ascii="Times New Roman" w:hAnsi="Times New Roman" w:cs="Times New Roman"/>
          <w:sz w:val="24"/>
          <w:szCs w:val="24"/>
        </w:rPr>
        <w:t xml:space="preserve">Гетерозиготы встречаются с частотой 1:500 человек, при этом у некоторых народов – 1:100. Количество рецепторов ЛПНП на поверхности клеток у гетерозигот снижено вдвое, а концентрация ХС в плазме, соответственно, вдвое повышается. У таких больных к 35-летнему возрасту концентрация ХС в крови достигает 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400–500 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мг/</w:t>
      </w:r>
      <w:r w:rsidRPr="22EBF7F6" w:rsidR="22EBF7F6">
        <w:rPr>
          <w:rFonts w:ascii="Times New Roman" w:hAnsi="Times New Roman" w:cs="Times New Roman"/>
          <w:sz w:val="24"/>
          <w:szCs w:val="24"/>
        </w:rPr>
        <w:t>дл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(при норме 200+-50 мг/</w:t>
      </w:r>
      <w:r w:rsidRPr="22EBF7F6" w:rsidR="22EBF7F6">
        <w:rPr>
          <w:rFonts w:ascii="Times New Roman" w:hAnsi="Times New Roman" w:cs="Times New Roman"/>
          <w:sz w:val="24"/>
          <w:szCs w:val="24"/>
        </w:rPr>
        <w:t>дл</w:t>
      </w:r>
      <w:r w:rsidRPr="22EBF7F6" w:rsidR="22EBF7F6">
        <w:rPr>
          <w:rFonts w:ascii="Times New Roman" w:hAnsi="Times New Roman" w:cs="Times New Roman"/>
          <w:sz w:val="24"/>
          <w:szCs w:val="24"/>
        </w:rPr>
        <w:t>).</w:t>
      </w:r>
    </w:p>
    <w:p xmlns:wp14="http://schemas.microsoft.com/office/word/2010/wordml" w14:paraId="02391FF3" wp14:textId="6A3B42C4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22EBF7F6" w:rsidR="22EBF7F6">
        <w:rPr>
          <w:rFonts w:ascii="Times New Roman" w:hAnsi="Times New Roman" w:cs="Times New Roman"/>
          <w:sz w:val="24"/>
          <w:szCs w:val="24"/>
        </w:rPr>
        <w:t>Гомозиготы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встречаются с частотой 1:1 000 000. Концентрация ХС у таких людей в раннем возрасте увеличена в 5–6 раз. Такие дети без экстренного лечения погибают в </w:t>
      </w:r>
      <w:r w:rsidRPr="22EBF7F6" w:rsidR="22EBF7F6">
        <w:rPr>
          <w:rFonts w:ascii="Times New Roman" w:hAnsi="Times New Roman" w:cs="Times New Roman"/>
          <w:sz w:val="24"/>
          <w:szCs w:val="24"/>
        </w:rPr>
        <w:t>5–6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лет.</w:t>
      </w:r>
    </w:p>
    <w:p xmlns:wp14="http://schemas.microsoft.com/office/word/2010/wordml" w14:paraId="60B3D0A4" wp14:textId="24B68664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22EBF7F6" w:rsidR="22EBF7F6">
        <w:rPr>
          <w:rFonts w:ascii="Times New Roman" w:hAnsi="Times New Roman" w:cs="Times New Roman"/>
          <w:sz w:val="24"/>
          <w:szCs w:val="24"/>
        </w:rPr>
        <w:t>Ввиду наследственного развития болезни медикаментозная терапия (наиболее популярная при СГХС) недостаточна для устранения заболевания, поэтому важно понять генетические причины заболевания, определить генетический риск и рассмотреть причины осложнений с использованием инструментов биоинформатики.</w:t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/>
      </w:r>
    </w:p>
    <w:p xmlns:wp14="http://schemas.microsoft.com/office/word/2010/wordml" w14:paraId="1129E35D" wp14:textId="77777777">
      <w:pPr>
        <w:pStyle w:val="Normal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Основные факты.</w:t>
      </w:r>
    </w:p>
    <w:p xmlns:wp14="http://schemas.microsoft.com/office/word/2010/wordml" w14:paraId="4FE3A9BD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Осложнения при </w:t>
      </w:r>
      <w:r>
        <w:rPr>
          <w:rFonts w:ascii="Times New Roman" w:hAnsi="Times New Roman" w:cs="Times New Roman"/>
          <w:sz w:val="24"/>
          <w:szCs w:val="24"/>
        </w:rPr>
        <w:t>СГХС</w:t>
      </w:r>
      <w:r>
        <w:rPr>
          <w:rFonts w:ascii="Times New Roman" w:hAnsi="Times New Roman" w:cs="Times New Roman"/>
          <w:sz w:val="24"/>
          <w:szCs w:val="24"/>
        </w:rPr>
        <w:t xml:space="preserve"> требуют дополнительных исследований, связанных со статистической обработкой информации из баз данных.</w:t>
      </w:r>
    </w:p>
    <w:p xmlns:wp14="http://schemas.microsoft.com/office/word/2010/wordml" w14:paraId="4BEFB4D6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омозиготная первичная гиперхолестеринемия способствует развитию атеросклероза до 20-летнего возраста, продолжительность жизни больных не превышает 30 лет.</w:t>
      </w:r>
    </w:p>
    <w:p xmlns:wp14="http://schemas.microsoft.com/office/word/2010/wordml" w14:paraId="62D226B5" wp14:textId="4548A5EA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22EBF7F6" w:rsidR="22EBF7F6">
        <w:rPr>
          <w:rFonts w:ascii="Times New Roman" w:hAnsi="Times New Roman" w:cs="Times New Roman"/>
          <w:sz w:val="24"/>
          <w:szCs w:val="24"/>
        </w:rPr>
        <w:t xml:space="preserve">Пациенты с гетерозиготной формой патологии имеют высокий риск развития ИБС, к 60 годам диагноз подтверждается у 85,5% мужчин и у 53% женщин. Средние показатели продолжительности жизни для мужчин составляют 53 года, для женщин – 62 года. ИБС становится причиной смерти половины мужчин с наследственной гетерозиготной гиперхолестеринемией. Около 20% случаев инфаркта миокарда до 45 лет связаны с наличием </w:t>
      </w:r>
      <w:r w:rsidRPr="22EBF7F6" w:rsidR="22EBF7F6">
        <w:rPr>
          <w:rFonts w:ascii="Times New Roman" w:hAnsi="Times New Roman" w:cs="Times New Roman"/>
          <w:sz w:val="24"/>
          <w:szCs w:val="24"/>
        </w:rPr>
        <w:t>СГХС. Необходимо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активно внедрять меры по профилактике и лечению СГХС и её осложнений, чтобы улучшить качество жизни пациентов и снизить финансовые затраты на лечение.</w:t>
      </w:r>
    </w:p>
    <w:p xmlns:wp14="http://schemas.microsoft.com/office/word/2010/wordml" w14:paraId="5DAB6C7B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/>
      </w:r>
    </w:p>
    <w:p xmlns:wp14="http://schemas.microsoft.com/office/word/2010/wordml" w14:paraId="78B26158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Цель исследования</w:t>
      </w:r>
    </w:p>
    <w:p xmlns:wp14="http://schemas.microsoft.com/office/word/2010/wordml" w14:paraId="0ED7424E" wp14:textId="2810CE39">
      <w:pPr>
        <w:pStyle w:val="Normal"/>
        <w:spacing w:before="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1. Анализ современного состояния по исследованию семейной гиперхолестеринемии по международным литературным источникам, и определение списка генов, ассоциированных с развитием заболевания по генетическим базам данных. </w:t>
      </w:r>
    </w:p>
    <w:p xmlns:wp14="http://schemas.microsoft.com/office/word/2010/wordml" w14:paraId="5069B3BE" wp14:textId="5EDAB7FF">
      <w:pPr>
        <w:pStyle w:val="Normal"/>
        <w:spacing w:before="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sz w:val="24"/>
          <w:szCs w:val="24"/>
        </w:rPr>
        <w:t xml:space="preserve">2. Компьютерная реконструкция и визуализация генных сетей для анализа семейной </w:t>
      </w:r>
      <w:r w:rsidRPr="22EBF7F6" w:rsidR="22EBF7F6">
        <w:rPr>
          <w:rFonts w:ascii="Times New Roman" w:hAnsi="Times New Roman" w:cs="Times New Roman"/>
          <w:sz w:val="24"/>
          <w:szCs w:val="24"/>
        </w:rPr>
        <w:t>гиперхолестеринем</w:t>
      </w:r>
      <w:r w:rsidRPr="22EBF7F6" w:rsidR="22EBF7F6">
        <w:rPr>
          <w:rFonts w:ascii="Times New Roman" w:hAnsi="Times New Roman" w:cs="Times New Roman"/>
          <w:sz w:val="24"/>
          <w:szCs w:val="24"/>
        </w:rPr>
        <w:t>ии</w:t>
      </w:r>
      <w:r w:rsidRPr="22EBF7F6" w:rsidR="22EBF7F6">
        <w:rPr>
          <w:rFonts w:ascii="Times New Roman" w:hAnsi="Times New Roman" w:cs="Times New Roman"/>
          <w:sz w:val="24"/>
          <w:szCs w:val="24"/>
        </w:rPr>
        <w:t xml:space="preserve"> с целью поиска перспективных генов-мишеней для диагностики и терапии.</w:t>
      </w:r>
    </w:p>
    <w:p xmlns:wp14="http://schemas.microsoft.com/office/word/2010/wordml" w14:paraId="61691647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Задачи исследования</w:t>
      </w:r>
    </w:p>
    <w:p xmlns:wp14="http://schemas.microsoft.com/office/word/2010/wordml" w14:paraId="37FDD982" wp14:textId="31EBCA59">
      <w:pPr>
        <w:pStyle w:val="Normal"/>
        <w:spacing w:before="0" w:after="120"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1) изучение литературных данных, связанных с семейной 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гиперхолестеринем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ией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;</w:t>
      </w:r>
    </w:p>
    <w:p xmlns:wp14="http://schemas.microsoft.com/office/word/2010/wordml" w14:paraId="19709C0E" wp14:textId="7FB04420">
      <w:pPr>
        <w:pStyle w:val="Normal"/>
        <w:spacing w:before="0" w:after="120"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2) построение списка генов, ассоциированных с семейной 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гиперхолестеринем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ией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по интернет-доступным базам данных;</w:t>
      </w:r>
    </w:p>
    <w:p xmlns:wp14="http://schemas.microsoft.com/office/word/2010/wordml" w14:paraId="25438724" wp14:textId="77FA7EEA">
      <w:pPr>
        <w:pStyle w:val="Normal"/>
        <w:spacing w:before="0" w:after="120"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3) составление таблиц представленности категорий генных онтологий сетей по полученному списку генов семейной 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гиперхолестеринем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ии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на основе инструментов биоинформатики;</w:t>
      </w:r>
    </w:p>
    <w:p xmlns:wp14="http://schemas.microsoft.com/office/word/2010/wordml" w14:paraId="315A5BF5" wp14:textId="5A832E0A">
      <w:pPr>
        <w:pStyle w:val="Normal"/>
        <w:spacing w:before="0" w:after="120"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4) Компьютерная реконструкция генной сети генов семейной 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гиперхолестеринем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ии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, ее визуализация, статистический анализ и сопоставление с генными сетями сопутствующих заболеваний.</w:t>
      </w:r>
    </w:p>
    <w:p xmlns:wp14="http://schemas.microsoft.com/office/word/2010/wordml" w14:paraId="6CFFDCC0" wp14:textId="77777777">
      <w:pPr>
        <w:pStyle w:val="Normal"/>
        <w:spacing w:before="0" w:after="120"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анализ полученных результатов, оценка связи полученных результатов с клиническими и литературными данными, обсуждение перспективных генов как мишеней для терапевтического воздействия;</w:t>
      </w:r>
    </w:p>
    <w:p xmlns:wp14="http://schemas.microsoft.com/office/word/2010/wordml" w14:paraId="02EB378F" wp14:textId="77777777">
      <w:pPr>
        <w:pStyle w:val="Normal"/>
        <w:spacing w:before="0" w:after="120" w:line="240" w:lineRule="auto"/>
        <w:ind w:left="851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 xmlns:wp14="http://schemas.microsoft.com/office/word/2010/wordml" w14:paraId="0499469F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Методы исследования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14:paraId="39122611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поиска данных применяются онлайн- программы, доступные по адресам: OMIM.org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GeneCards.org,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NCBI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GenBank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ensembl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org, </w:t>
      </w:r>
      <w:r>
        <w:rPr>
          <w:rFonts w:ascii="TimesNewRoman" w:hAnsi="TimesNewRoman" w:cs="Times New Roman"/>
          <w:color w:val="000000"/>
          <w:sz w:val="22"/>
          <w:szCs w:val="22"/>
          <w:lang w:val="en-US"/>
        </w:rPr>
        <w:t>“UniProt” (</w:t>
      </w:r>
      <w:hyperlink r:id="rId2">
        <w:r>
          <w:rPr>
            <w:rStyle w:val="InternetLink"/>
            <w:rFonts w:ascii="TimesNewRoman" w:hAnsi="TimesNewRoman" w:cs="Times New Roman"/>
            <w:color w:val="000000"/>
            <w:sz w:val="22"/>
            <w:szCs w:val="22"/>
            <w:lang w:val="en-US"/>
          </w:rPr>
          <w:t>https://www.uniprot.org/uniprot/P01130</w:t>
        </w:r>
      </w:hyperlink>
      <w:hyperlink r:id="rId3">
        <w:r>
          <w:rPr>
            <w:rFonts w:ascii="TimesNewRoman" w:hAnsi="TimesNewRoman" w:cs="Times New Roman"/>
            <w:color w:val="000000"/>
            <w:sz w:val="22"/>
            <w:szCs w:val="22"/>
            <w:lang w:val="en-US"/>
          </w:rPr>
          <w:t>)</w:t>
        </w:r>
      </w:hyperlink>
      <w:r>
        <w:rPr>
          <w:rFonts w:ascii="TimesNewRoman" w:hAnsi="TimesNewRoman" w:cs="Times New Roman"/>
          <w:color w:val="000000"/>
          <w:sz w:val="22"/>
          <w:szCs w:val="22"/>
          <w:lang w:val="en-US"/>
        </w:rPr>
        <w:t>, “PDB” (</w:t>
      </w:r>
      <w:hyperlink r:id="rId4">
        <w:r>
          <w:rPr>
            <w:rFonts w:ascii="TimesNewRoman" w:hAnsi="TimesNewRoman" w:cs="Times New Roman"/>
            <w:color w:val="000000"/>
            <w:sz w:val="22"/>
            <w:szCs w:val="22"/>
            <w:lang w:val="en-US"/>
          </w:rPr>
          <w:t>https://www.wwpdb.org</w:t>
        </w:r>
      </w:hyperlink>
      <w:r>
        <w:rPr>
          <w:rFonts w:ascii="TimesNewRoman" w:hAnsi="TimesNewRoman" w:cs="Times New Roman"/>
          <w:color w:val="000000"/>
          <w:sz w:val="22"/>
          <w:szCs w:val="22"/>
          <w:lang w:val="en-US"/>
        </w:rPr>
        <w:t>).</w:t>
      </w:r>
    </w:p>
    <w:p xmlns:wp14="http://schemas.microsoft.com/office/word/2010/wordml" w14:paraId="0C0FC0A3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генных онтологий - программы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PANTHER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DAVID </w:t>
      </w:r>
      <w:r>
        <w:rPr>
          <w:rFonts w:ascii="TimesNewRoman" w:hAnsi="TimesNewRoman" w:cs="Times New Roman"/>
          <w:color w:val="000000"/>
          <w:sz w:val="22"/>
          <w:szCs w:val="22"/>
          <w:lang w:val="en-US"/>
        </w:rPr>
        <w:t>(https://david.ncifcrf.gov/summary.jsp)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geneontology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org, GOST (http://biit.cs.ut.ee/gprofiler/gost).</w:t>
      </w:r>
    </w:p>
    <w:p xmlns:wp14="http://schemas.microsoft.com/office/word/2010/wordml" w14:paraId="020C0516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Реконструкция и визуализация генных сетей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GeneMANIA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cytoscape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</w:t>
      </w:r>
    </w:p>
    <w:p xmlns:wp14="http://schemas.microsoft.com/office/word/2010/wordml" w14:paraId="69B5773B" wp14:textId="2A1255F7">
      <w:pPr>
        <w:pStyle w:val="Normal"/>
        <w:spacing w:before="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Для обработки полученного массива данных применялись программы для визуализации изображения, полученных с источников: online.visual-paradigm.com, venndiagram.imageonline.co</w:t>
      </w:r>
      <w:r w:rsidRPr="22EBF7F6" w:rsidR="22EBF7F6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en-US"/>
        </w:rPr>
        <w:t>m.</w:t>
      </w:r>
    </w:p>
    <w:p xmlns:wp14="http://schemas.microsoft.com/office/word/2010/wordml" w14:paraId="6A05A809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 xmlns:wp14="http://schemas.microsoft.com/office/word/2010/wordml" w14:paraId="79AC76CC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База исследования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</w:p>
    <w:p xmlns:wp14="http://schemas.microsoft.com/office/word/2010/wordml" w14:paraId="28A460B1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sz w:val="24"/>
          <w:szCs w:val="24"/>
          <w:shd w:val="clear" w:fill="FFFFFF"/>
        </w:rPr>
        <w:t>Кафедра информационных и интернет-технологий (КИИТ)</w:t>
      </w:r>
    </w:p>
    <w:p xmlns:wp14="http://schemas.microsoft.com/office/word/2010/wordml" w14:paraId="1C4C06E8" wp14:textId="28AC99D2">
      <w:pPr>
        <w:pStyle w:val="Normal"/>
        <w:spacing w:before="0" w:after="120" w:line="240" w:lineRule="auto"/>
        <w:rPr>
          <w:rFonts w:ascii="Times New Roman" w:hAnsi="Times New Roman" w:cs="Times New Roman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sz w:val="24"/>
          <w:szCs w:val="24"/>
          <w:shd w:val="clear" w:fill="FFFFFF"/>
        </w:rPr>
        <w:t xml:space="preserve">Институт цифровой медицины ФГАОУ ВО Первый МГМУ имени </w:t>
      </w:r>
      <w:r>
        <w:rPr>
          <w:rFonts w:ascii="Times New Roman" w:hAnsi="Times New Roman" w:cs="Times New Roman"/>
          <w:sz w:val="24"/>
          <w:szCs w:val="24"/>
          <w:shd w:val="clear" w:fill="FFFFFF"/>
        </w:rPr>
        <w:t>И. М.</w:t>
      </w:r>
      <w:r>
        <w:rPr>
          <w:rFonts w:ascii="Times New Roman" w:hAnsi="Times New Roman" w:cs="Times New Roman"/>
          <w:sz w:val="24"/>
          <w:szCs w:val="24"/>
          <w:shd w:val="clear" w:fill="FFFFFF"/>
        </w:rPr>
        <w:t xml:space="preserve"> Сеченова Минздрава России (Сеченовский Университет)</w:t>
      </w:r>
    </w:p>
    <w:p xmlns:wp14="http://schemas.microsoft.com/office/word/2010/wordml" w14:paraId="5A39BBE3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sz w:val="24"/>
          <w:szCs w:val="24"/>
          <w:shd w:val="clear" w:fill="FFFFFF"/>
        </w:rPr>
      </w:r>
    </w:p>
    <w:p xmlns:wp14="http://schemas.microsoft.com/office/word/2010/wordml" w14:paraId="3DC71B0B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fill="FFFFFF"/>
        </w:rPr>
        <w:t>Руководитель от принимающей организации</w:t>
      </w:r>
    </w:p>
    <w:p xmlns:wp14="http://schemas.microsoft.com/office/word/2010/wordml" w14:paraId="049C1E6E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>Доктор биологических наук, Профессор РАН - Орлов Юрий Львович</w:t>
      </w:r>
    </w:p>
    <w:p xmlns:wp14="http://schemas.microsoft.com/office/word/2010/wordml" w14:paraId="41C8F396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r>
    </w:p>
    <w:p xmlns:wp14="http://schemas.microsoft.com/office/word/2010/wordml" w14:paraId="00BCDE69" wp14:textId="77777777">
      <w:pPr>
        <w:pStyle w:val="Normal"/>
        <w:spacing w:before="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fill="FFFFFF"/>
        </w:rPr>
        <w:t>_______________ 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fill="FFFFFF"/>
        </w:rPr>
        <w:t>Гориченко Иван Вадимович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fill="FFFFFF"/>
        </w:rPr>
        <w:t>)</w:t>
      </w:r>
    </w:p>
    <w:p xmlns:wp14="http://schemas.microsoft.com/office/word/2010/wordml" w14:paraId="72A3D3EC" wp14:textId="77777777">
      <w:pPr>
        <w:pStyle w:val="Normal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r>
    </w:p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r>
    </w:p>
    <w:p xmlns:wp14="http://schemas.microsoft.com/office/word/2010/wordml" w14:paraId="79DB46E2" wp14:textId="77777777">
      <w:pPr>
        <w:pStyle w:val="Normal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>Согласовано:</w:t>
      </w:r>
    </w:p>
    <w:p xmlns:wp14="http://schemas.microsoft.com/office/word/2010/wordml" w14:paraId="73FF96B5" wp14:textId="77777777">
      <w:pPr>
        <w:pStyle w:val="Normal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 xml:space="preserve">Руководитель от </w:t>
      </w:r>
    </w:p>
    <w:p xmlns:wp14="http://schemas.microsoft.com/office/word/2010/wordml" w14:paraId="2035348A" wp14:textId="77777777">
      <w:pPr>
        <w:pStyle w:val="Normal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>принимающей организации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/>
        </w:rPr>
        <w:t xml:space="preserve"> _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fill="FFFFFF"/>
        </w:rPr>
        <w:t>______________ (Орлов Юрий Львович)</w:t>
      </w:r>
      <w:bookmarkStart w:name="_GoBack" w:id="0"/>
      <w:bookmarkEnd w:id="0"/>
    </w:p>
    <w:p xmlns:wp14="http://schemas.microsoft.com/office/word/2010/wordml" w14:paraId="0E27B00A" wp14:textId="77777777">
      <w:pPr>
        <w:pStyle w:val="Normal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trackRevisions w:val="false"/>
  <w:defaultTabStop w:val="708"/>
  <w:autoHyphenation w:val="true"/>
  <w:compat>
    <w:compatSetting w:name="compatibilityMode" w:uri="http://schemas.microsoft.com/office/word" w:val="12"/>
  </w:compat>
  <w:themeFontLang w:val="ru-RU" w:eastAsia="" w:bidi=""/>
  <w14:docId w14:val="1A46DCF8"/>
  <w15:docId w15:val="{C1486E70-A1D7-4FD1-BCED-53AB61D243E4}"/>
  <w:rsids>
    <w:rsidRoot w:val="22EBF7F6"/>
    <w:rsid w:val="22EBF7F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0310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ira Mono for Powerline" w:cs="Fira Mono for Powerline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s://www.uniprot.org/uniprot/P01130" TargetMode="External" Id="rId2" /><Relationship Type="http://schemas.openxmlformats.org/officeDocument/2006/relationships/hyperlink" Target="https://www.uniprot.org/uniprot/P01130)-" TargetMode="External" Id="rId3" /><Relationship Type="http://schemas.openxmlformats.org/officeDocument/2006/relationships/hyperlink" Target="https://www.wwpdb.org/" TargetMode="Externa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2023-04-04T00:29:00.0000000Z</dcterms:created>
  <dc:creator>Денис</dc:creator>
  <dc:description/>
  <dc:language>en-US</dc:language>
  <lastModifiedBy>Гориченко Иван</lastModifiedBy>
  <lastPrinted>2017-11-07T09:32:00.0000000Z</lastPrinted>
  <dcterms:modified xsi:type="dcterms:W3CDTF">2023-04-30T14:49:55.0736530Z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