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color w:val="000000"/>
        </w:rPr>
      </w:pPr>
      <w:r>
        <w:rPr>
          <w:rFonts w:ascii="TimesNewRoman" w:hAnsi="TimesNewRoman"/>
          <w:color w:val="000000"/>
          <w:sz w:val="22"/>
          <w:szCs w:val="22"/>
        </w:rPr>
        <w:t>Гориченко Ивана Вадимовича</w:t>
      </w:r>
    </w:p>
    <w:p>
      <w:pPr>
        <w:pStyle w:val="Normal"/>
        <w:jc w:val="right"/>
        <w:rPr>
          <w:color w:val="000000"/>
        </w:rPr>
      </w:pPr>
      <w:r>
        <w:rPr>
          <w:rFonts w:ascii="TimesNewRoman" w:hAnsi="TimesNewRoman"/>
          <w:color w:val="000000"/>
          <w:sz w:val="22"/>
          <w:szCs w:val="22"/>
        </w:rPr>
        <w:t>«Исследование генов, ассоциированных с заболеванием (семейная гиперхолистеринемия), и реконструкция генных сетей с помощью онлайн-инструментов биоинформатики»</w:t>
      </w:r>
    </w:p>
    <w:p>
      <w:pPr>
        <w:pStyle w:val="Normal"/>
        <w:jc w:val="right"/>
        <w:rPr>
          <w:color w:val="000000"/>
        </w:rPr>
      </w:pPr>
      <w:r>
        <w:rPr>
          <w:color w:val="000000"/>
        </w:rPr>
      </w:r>
    </w:p>
    <w:p>
      <w:pPr>
        <w:pStyle w:val="Normal"/>
        <w:rPr>
          <w:rFonts w:ascii="TimesNewRoman" w:hAnsi="TimesNewRoman"/>
          <w:color w:val="000000"/>
          <w:sz w:val="22"/>
          <w:szCs w:val="22"/>
        </w:rPr>
      </w:pPr>
      <w:r>
        <w:rPr>
          <w:rFonts w:ascii="TimesNewRoman" w:hAnsi="TimesNewRoman"/>
          <w:color w:val="000000"/>
          <w:sz w:val="22"/>
          <w:szCs w:val="22"/>
        </w:rPr>
      </w:r>
    </w:p>
    <w:p>
      <w:pPr>
        <w:pStyle w:val="Heading2"/>
        <w:rPr>
          <w:rFonts w:ascii="TimesNewRoman" w:hAnsi="TimesNewRoman"/>
          <w:color w:val="000000"/>
        </w:rPr>
      </w:pPr>
      <w:r>
        <w:rPr>
          <w:rFonts w:ascii="TimesNewRoman" w:hAnsi="TimesNewRoman"/>
          <w:color w:val="000000"/>
        </w:rPr>
        <w:t>Введение</w:t>
      </w:r>
    </w:p>
    <w:p>
      <w:pPr>
        <w:pStyle w:val="Heading2"/>
        <w:rPr>
          <w:rFonts w:ascii="TimesNewRoman" w:hAnsi="TimesNewRoman"/>
          <w:b w:val="false"/>
          <w:b w:val="false"/>
          <w:bCs w:val="false"/>
          <w:color w:val="000000"/>
          <w:sz w:val="22"/>
          <w:szCs w:val="22"/>
        </w:rPr>
      </w:pPr>
      <w:r>
        <w:rPr>
          <w:rFonts w:ascii="TimesNewRoman" w:hAnsi="TimesNewRoman"/>
          <w:b w:val="false"/>
          <w:bCs w:val="false"/>
          <w:color w:val="000000"/>
          <w:sz w:val="22"/>
          <w:szCs w:val="22"/>
        </w:rPr>
        <w:t>Семейная гиперхолестеринемия - это наследственное заболевание, которое вызывает высокий уровень холестерина ЛПНП (липопротеинов низкой плотности), начиная с рождения. А также является причиной сердечных приступов в раннем возрасте.</w:t>
      </w:r>
    </w:p>
    <w:p>
      <w:pPr>
        <w:pStyle w:val="Normal"/>
        <w:rPr>
          <w:rFonts w:ascii="TimesNewRoman" w:hAnsi="TimesNewRoman"/>
          <w:color w:val="000000"/>
          <w:sz w:val="22"/>
          <w:szCs w:val="22"/>
        </w:rPr>
      </w:pPr>
      <w:r>
        <w:rPr>
          <w:rFonts w:ascii="TimesNewRoman" w:hAnsi="TimesNewRoman"/>
          <w:color w:val="000000"/>
          <w:sz w:val="22"/>
          <w:szCs w:val="22"/>
        </w:rPr>
        <w:t>Холестерин, переносимый ЛПНП, иногда называют "плохим холестерином". Люди, страдающие семейной гиперхолестеринемией, имеют высокий уровень холестерина ЛПНП, потому что они не могут должным образом удалить ЛПНП из кровотока. Органом, ответственным за удаление ЛПНП, является печень. Высокий уровень холестерина ЛПНП в крови увеличивает риск сердечных приступов и сердечных заболеваний.</w:t>
      </w:r>
    </w:p>
    <w:p>
      <w:pPr>
        <w:pStyle w:val="TextBody"/>
        <w:rPr/>
      </w:pPr>
      <w:r>
        <w:rPr>
          <w:rFonts w:eastAsia="DejaVu Sans" w:cs="Noto Sans" w:ascii="TimesNewRoman" w:hAnsi="TimesNewRoman"/>
          <w:b w:val="false"/>
          <w:i w:val="false"/>
          <w:caps w:val="false"/>
          <w:smallCaps w:val="false"/>
          <w:color w:val="000000"/>
          <w:spacing w:val="0"/>
          <w:sz w:val="22"/>
          <w:szCs w:val="22"/>
        </w:rPr>
        <w:t>Согласно клиническим рекомендациям Минздрава РФ ("Клинические рекомендации "Семейная гиперхолестеринемия" (утв. Минздравом России)) р</w:t>
      </w:r>
      <w:r>
        <w:rPr>
          <w:rFonts w:ascii="TimesNewRoman" w:hAnsi="TimesNewRoman"/>
          <w:b w:val="false"/>
          <w:i w:val="false"/>
          <w:caps w:val="false"/>
          <w:smallCaps w:val="false"/>
          <w:color w:val="000000"/>
          <w:spacing w:val="0"/>
          <w:sz w:val="22"/>
          <w:szCs w:val="22"/>
        </w:rPr>
        <w:t xml:space="preserve">аспространенность гетерозиготной СГХС в мире составляет 1 на 250 человек. По данным недавнего эпидемиологического исследования, проведенного в двух регионах Российской Федерации, распространенность СГХС составляет 1 на 108 человек. Распространенность гомозиготной СГХС - значительно меньше (1 на 300 тыс. - 1 млн. человек). СГХС является причиной развития </w:t>
      </w:r>
      <w:r>
        <w:rPr>
          <w:rFonts w:eastAsia="DejaVu Sans" w:cs="Noto Sans" w:ascii="TimesNewRoman" w:hAnsi="TimesNewRoman"/>
          <w:b w:val="false"/>
          <w:i w:val="false"/>
          <w:caps w:val="false"/>
          <w:smallCaps w:val="false"/>
          <w:color w:val="000000"/>
          <w:spacing w:val="0"/>
          <w:sz w:val="22"/>
          <w:szCs w:val="22"/>
        </w:rPr>
        <w:t>инфаркта миокарда</w:t>
      </w:r>
      <w:r>
        <w:rPr>
          <w:rFonts w:ascii="TimesNewRoman" w:hAnsi="TimesNewRoman"/>
          <w:b w:val="false"/>
          <w:i w:val="false"/>
          <w:caps w:val="false"/>
          <w:smallCaps w:val="false"/>
          <w:color w:val="000000"/>
          <w:spacing w:val="0"/>
          <w:sz w:val="22"/>
          <w:szCs w:val="22"/>
        </w:rPr>
        <w:t xml:space="preserve"> до 45 лет в 20% случаев. Пациенты с СГХС имеют также повышенный риск развития преждевременной смерти. У мужчин, больных гетерозиготной СГХС, в случае отсутствия лечения </w:t>
      </w:r>
      <w:r>
        <w:rPr>
          <w:rFonts w:eastAsia="DejaVu Sans" w:cs="Noto Sans" w:ascii="TimesNewRoman" w:hAnsi="TimesNewRoman"/>
          <w:b w:val="false"/>
          <w:i w:val="false"/>
          <w:caps w:val="false"/>
          <w:smallCaps w:val="false"/>
          <w:color w:val="000000"/>
          <w:spacing w:val="0"/>
          <w:sz w:val="22"/>
          <w:szCs w:val="22"/>
        </w:rPr>
        <w:t>ишемическая болезнь сердца</w:t>
      </w:r>
      <w:r>
        <w:rPr>
          <w:rFonts w:ascii="TimesNewRoman" w:hAnsi="TimesNewRoman"/>
          <w:b w:val="false"/>
          <w:i w:val="false"/>
          <w:caps w:val="false"/>
          <w:smallCaps w:val="false"/>
          <w:color w:val="000000"/>
          <w:spacing w:val="0"/>
          <w:sz w:val="22"/>
          <w:szCs w:val="22"/>
        </w:rPr>
        <w:t xml:space="preserve"> развивается к 30 годам у 5,4%, к 50 годам - 51,4%, к 60 годам - 85,4%, а у женщин к 60 годам - у 53,3%. Согласно докладу ВОЗ (1997), 50% мужчин с гетерозиготной СГХС умирают в возрасте до 60 лет из-за ИБС. В России продолжительность жизни у мужчин с гетерозиготной СГХС - 53 года, у женщин 62 года [26].</w:t>
      </w:r>
      <w:bookmarkStart w:id="0" w:name="100070"/>
      <w:bookmarkEnd w:id="0"/>
      <w:r>
        <w:rPr>
          <w:rFonts w:ascii="TimesNewRoman" w:hAnsi="TimesNewRoman"/>
          <w:b w:val="false"/>
          <w:i w:val="false"/>
          <w:caps w:val="false"/>
          <w:smallCaps w:val="false"/>
          <w:color w:val="000000"/>
          <w:spacing w:val="0"/>
          <w:sz w:val="22"/>
          <w:szCs w:val="22"/>
        </w:rPr>
        <w:t xml:space="preserve"> У нелеченных пациентов с гомозиготной СГХС атеросклероз развивается в возрасте до 20 лет, и продолжительность жизни составляет не более 30 лет.</w:t>
      </w:r>
    </w:p>
    <w:p>
      <w:pPr>
        <w:pStyle w:val="Normal"/>
        <w:rPr>
          <w:rFonts w:ascii="TimesNewRoman" w:hAnsi="TimesNewRoman"/>
          <w:color w:val="000000"/>
          <w:sz w:val="22"/>
          <w:szCs w:val="22"/>
        </w:rPr>
      </w:pPr>
      <w:r>
        <w:rPr>
          <w:rFonts w:ascii="TimesNewRoman" w:hAnsi="TimesNewRoman"/>
          <w:color w:val="000000"/>
          <w:sz w:val="22"/>
          <w:szCs w:val="22"/>
        </w:rPr>
        <w:t xml:space="preserve">Тип наследования СГХС – аутосомно-доминантный. </w:t>
      </w:r>
    </w:p>
    <w:p>
      <w:pPr>
        <w:pStyle w:val="Normal"/>
        <w:rPr>
          <w:rFonts w:ascii="TimesNewRoman" w:hAnsi="TimesNewRoman"/>
          <w:color w:val="000000"/>
          <w:sz w:val="22"/>
          <w:szCs w:val="22"/>
        </w:rPr>
      </w:pPr>
      <w:r>
        <w:rPr>
          <w:rFonts w:ascii="TimesNewRoman" w:hAnsi="TimesNewRoman"/>
          <w:color w:val="000000"/>
          <w:sz w:val="22"/>
          <w:szCs w:val="22"/>
        </w:rPr>
        <w:t>Гетерозиготы встречаются с частотой 1:500 человек, при этом у некоторых народов Африки – даже 1:100. Количество рецепторов ЛПНП на поверхности клеток у гетерозигот снижено вдвое, а концентрация ХС в плазме, соответсвенно, вдвое повышается. У таких больных к 35-40-летнему возрасту концентрация ХС в крови достигает 400-500 мг/дл (при норме 200+-50 мг/дл).</w:t>
      </w:r>
    </w:p>
    <w:p>
      <w:pPr>
        <w:pStyle w:val="Normal"/>
        <w:rPr>
          <w:rFonts w:ascii="TimesNewRoman" w:hAnsi="TimesNewRoman"/>
          <w:color w:val="000000"/>
          <w:sz w:val="22"/>
          <w:szCs w:val="22"/>
        </w:rPr>
      </w:pPr>
      <w:r>
        <w:rPr>
          <w:rFonts w:ascii="TimesNewRoman" w:hAnsi="TimesNewRoman"/>
          <w:color w:val="000000"/>
          <w:sz w:val="22"/>
          <w:szCs w:val="22"/>
        </w:rPr>
        <w:t>Гомозиготы встречаются с частотой 1:1 000 000. Концентрация ХС у таких людей в раннем возрасте увеличена в 5-6 раз. В таких случаях в организме макрофаги захватывают ЛПНП, и откладываются в коже и сухожилиях, образуя ксантомы. ХС также откладывается на стенках артерий, образуя атеросклеротические бляшки. Такие дети без экстренного лечения погибаю в 5-6 лет.</w:t>
      </w:r>
    </w:p>
    <w:p>
      <w:pPr>
        <w:pStyle w:val="Normal"/>
        <w:rPr>
          <w:rFonts w:ascii="TimesNewRoman" w:hAnsi="TimesNewRoman"/>
          <w:color w:val="000000"/>
          <w:sz w:val="22"/>
          <w:szCs w:val="22"/>
        </w:rPr>
      </w:pPr>
      <w:r>
        <w:rPr>
          <w:rFonts w:ascii="TimesNewRoman" w:hAnsi="TimesNewRoman"/>
          <w:color w:val="000000"/>
          <w:sz w:val="22"/>
          <w:szCs w:val="22"/>
        </w:rPr>
      </w:r>
    </w:p>
    <w:p>
      <w:pPr>
        <w:pStyle w:val="Heading2"/>
        <w:spacing w:before="0" w:after="140"/>
        <w:rPr>
          <w:rFonts w:ascii="TimesNewRoman" w:hAnsi="TimesNewRoman"/>
          <w:color w:val="000000"/>
        </w:rPr>
      </w:pPr>
      <w:r>
        <w:rPr>
          <w:rFonts w:ascii="TimesNewRoman" w:hAnsi="TimesNewRoman"/>
          <w:color w:val="000000"/>
        </w:rPr>
        <w:t>1. Получение списка генов, связанных с наследственной предрасположенностью к СГХС.</w:t>
      </w:r>
    </w:p>
    <w:p>
      <w:pPr>
        <w:pStyle w:val="TextBody"/>
        <w:rPr>
          <w:rFonts w:ascii="TimesNewRoman" w:hAnsi="TimesNewRoman"/>
          <w:color w:val="000000"/>
          <w:sz w:val="22"/>
          <w:szCs w:val="22"/>
        </w:rPr>
      </w:pPr>
      <w:r>
        <w:rPr>
          <w:rFonts w:ascii="TimesNewRoman" w:hAnsi="TimesNewRoman"/>
          <w:color w:val="000000"/>
          <w:sz w:val="22"/>
          <w:szCs w:val="22"/>
        </w:rPr>
        <w:t xml:space="preserve">При анализе генов, дефекты в которых имеют влияние на развитие семейной гиперхолестеринемии, информационная база данных «GeneCards» выдала 1,620 генов (ниже представлена таблица генов,  файл с полной таблицей генов, у которых счет </w:t>
      </w:r>
      <w:r>
        <w:rPr>
          <w:rFonts w:eastAsia="DejaVu Sans" w:cs="Noto Sans" w:ascii="TimesNewRoman" w:hAnsi="TimesNewRoman"/>
          <w:color w:val="000000"/>
          <w:sz w:val="22"/>
          <w:szCs w:val="22"/>
        </w:rPr>
        <w:t>не менее</w:t>
      </w:r>
      <w:r>
        <w:rPr>
          <w:rFonts w:ascii="TimesNewRoman" w:hAnsi="TimesNewRoman"/>
          <w:color w:val="000000"/>
          <w:sz w:val="22"/>
          <w:szCs w:val="22"/>
        </w:rPr>
        <w:t xml:space="preserve"> 35, прикреплен в письме («genecards.txt»).</w:t>
      </w:r>
    </w:p>
    <w:p>
      <w:pPr>
        <w:pStyle w:val="Normal"/>
        <w:spacing w:before="0" w:after="140"/>
        <w:jc w:val="right"/>
        <w:rPr/>
      </w:pPr>
      <w:r>
        <w:rPr>
          <w:rFonts w:ascii="TimesNewRoman" w:hAnsi="TimesNewRoman"/>
          <w:b/>
          <w:color w:val="000000"/>
          <w:sz w:val="22"/>
          <w:szCs w:val="22"/>
        </w:rPr>
        <w:t>Таблица 1</w:t>
      </w:r>
      <w:r>
        <w:rPr>
          <w:rFonts w:ascii="TimesNewRoman" w:hAnsi="TimesNewRoman"/>
          <w:color w:val="000000"/>
          <w:sz w:val="22"/>
          <w:szCs w:val="22"/>
        </w:rPr>
        <w:t xml:space="preserve"> Гены ассоциированные с СГХС</w:t>
      </w:r>
    </w:p>
    <w:tbl>
      <w:tblPr>
        <w:tblW w:w="9575" w:type="dxa"/>
        <w:jc w:val="left"/>
        <w:tblInd w:w="97" w:type="dxa"/>
        <w:tblLayout w:type="fixed"/>
        <w:tblCellMar>
          <w:top w:w="28" w:type="dxa"/>
          <w:left w:w="28" w:type="dxa"/>
          <w:bottom w:w="28" w:type="dxa"/>
          <w:right w:w="28" w:type="dxa"/>
        </w:tblCellMar>
        <w:tblLook w:val="0000" w:noHBand="0" w:noVBand="0" w:firstColumn="0" w:lastRow="0" w:lastColumn="0" w:firstRow="0"/>
      </w:tblPr>
      <w:tblGrid>
        <w:gridCol w:w="1587"/>
        <w:gridCol w:w="5500"/>
        <w:gridCol w:w="1700"/>
        <w:gridCol w:w="787"/>
      </w:tblGrid>
      <w:tr>
        <w:trPr/>
        <w:tc>
          <w:tcPr>
            <w:tcW w:w="1587" w:type="dxa"/>
            <w:tcBorders/>
            <w:vAlign w:val="center"/>
          </w:tcPr>
          <w:p>
            <w:pPr>
              <w:pStyle w:val="Style20"/>
              <w:widowControl w:val="false"/>
              <w:jc w:val="center"/>
              <w:rPr>
                <w:rFonts w:ascii="TimesNewRoman" w:hAnsi="TimesNewRoman"/>
                <w:color w:val="000000"/>
                <w:sz w:val="22"/>
                <w:szCs w:val="22"/>
              </w:rPr>
            </w:pPr>
            <w:r>
              <w:rPr>
                <w:rFonts w:ascii="TimesNewRoman" w:hAnsi="TimesNewRoman"/>
                <w:color w:val="000000"/>
                <w:sz w:val="22"/>
                <w:szCs w:val="22"/>
              </w:rPr>
              <w:t>Ген</w:t>
            </w:r>
          </w:p>
        </w:tc>
        <w:tc>
          <w:tcPr>
            <w:tcW w:w="5500" w:type="dxa"/>
            <w:tcBorders/>
            <w:vAlign w:val="center"/>
          </w:tcPr>
          <w:p>
            <w:pPr>
              <w:pStyle w:val="Style20"/>
              <w:widowControl w:val="false"/>
              <w:jc w:val="center"/>
              <w:rPr>
                <w:rFonts w:ascii="TimesNewRoman" w:hAnsi="TimesNewRoman"/>
                <w:color w:val="000000"/>
                <w:sz w:val="22"/>
                <w:szCs w:val="22"/>
              </w:rPr>
            </w:pPr>
            <w:r>
              <w:rPr>
                <w:rFonts w:ascii="TimesNewRoman" w:hAnsi="TimesNewRoman"/>
                <w:color w:val="000000"/>
                <w:sz w:val="22"/>
                <w:szCs w:val="22"/>
              </w:rPr>
              <w:t>Краткое описание</w:t>
            </w:r>
          </w:p>
        </w:tc>
        <w:tc>
          <w:tcPr>
            <w:tcW w:w="1700" w:type="dxa"/>
            <w:tcBorders/>
            <w:vAlign w:val="center"/>
          </w:tcPr>
          <w:p>
            <w:pPr>
              <w:pStyle w:val="Style20"/>
              <w:widowControl w:val="false"/>
              <w:jc w:val="center"/>
              <w:rPr>
                <w:rFonts w:ascii="TimesNewRoman" w:hAnsi="TimesNewRoman"/>
                <w:color w:val="000000"/>
                <w:sz w:val="22"/>
                <w:szCs w:val="22"/>
              </w:rPr>
            </w:pPr>
            <w:r>
              <w:rPr>
                <w:rFonts w:ascii="TimesNewRoman" w:hAnsi="TimesNewRoman"/>
                <w:color w:val="000000"/>
                <w:sz w:val="22"/>
                <w:szCs w:val="22"/>
              </w:rPr>
              <w:t>Категория</w:t>
            </w:r>
          </w:p>
        </w:tc>
        <w:tc>
          <w:tcPr>
            <w:tcW w:w="787" w:type="dxa"/>
            <w:tcBorders/>
            <w:vAlign w:val="center"/>
          </w:tcPr>
          <w:p>
            <w:pPr>
              <w:pStyle w:val="Style20"/>
              <w:widowControl w:val="false"/>
              <w:jc w:val="center"/>
              <w:rPr>
                <w:rFonts w:ascii="TimesNewRoman" w:hAnsi="TimesNewRoman"/>
                <w:color w:val="000000"/>
                <w:sz w:val="22"/>
                <w:szCs w:val="22"/>
              </w:rPr>
            </w:pPr>
            <w:r>
              <w:rPr>
                <w:rFonts w:ascii="TimesNewRoman" w:hAnsi="TimesNewRoman"/>
                <w:color w:val="000000"/>
                <w:sz w:val="22"/>
                <w:szCs w:val="22"/>
              </w:rPr>
              <w:t>Счет</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LDLR</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Low Density Lipoprotein Receptor</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235.00</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APOB</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Apolipoprotein B</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216.31</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PCSK9</w:t>
            </w:r>
          </w:p>
        </w:tc>
        <w:tc>
          <w:tcPr>
            <w:tcW w:w="5500" w:type="dxa"/>
            <w:tcBorders/>
            <w:vAlign w:val="center"/>
          </w:tcPr>
          <w:p>
            <w:pPr>
              <w:pStyle w:val="Style20"/>
              <w:widowControl w:val="false"/>
              <w:rPr>
                <w:rFonts w:ascii="TimesNewRoman" w:hAnsi="TimesNewRoman"/>
                <w:color w:val="000000"/>
                <w:sz w:val="22"/>
                <w:szCs w:val="22"/>
                <w:lang w:val="en-US"/>
              </w:rPr>
            </w:pPr>
            <w:r>
              <w:rPr>
                <w:rFonts w:ascii="TimesNewRoman" w:hAnsi="TimesNewRoman"/>
                <w:color w:val="000000"/>
                <w:sz w:val="22"/>
                <w:szCs w:val="22"/>
                <w:lang w:val="en-US"/>
              </w:rPr>
              <w:t>Proprotein Convertase Subtilisin/Kexin Type 9</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149.20</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BRCA2</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BRCA2 DNA Repair Associated</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109.99</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LDLRAP1</w:t>
            </w:r>
          </w:p>
        </w:tc>
        <w:tc>
          <w:tcPr>
            <w:tcW w:w="5500" w:type="dxa"/>
            <w:tcBorders/>
            <w:vAlign w:val="center"/>
          </w:tcPr>
          <w:p>
            <w:pPr>
              <w:pStyle w:val="Style20"/>
              <w:widowControl w:val="false"/>
              <w:rPr>
                <w:rFonts w:ascii="TimesNewRoman" w:hAnsi="TimesNewRoman"/>
                <w:color w:val="000000"/>
                <w:sz w:val="22"/>
                <w:szCs w:val="22"/>
                <w:lang w:val="en-US"/>
              </w:rPr>
            </w:pPr>
            <w:r>
              <w:rPr>
                <w:rFonts w:ascii="TimesNewRoman" w:hAnsi="TimesNewRoman"/>
                <w:color w:val="000000"/>
                <w:sz w:val="22"/>
                <w:szCs w:val="22"/>
                <w:lang w:val="en-US"/>
              </w:rPr>
              <w:t>Low Density Lipoprotein Receptor Adaptor Protein 1</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94.77</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LDLR-AS1</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LDLR Antisense RNA 1</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RNA Gene</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70.18</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LOC106560211</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APOB 5' Regulatory Region</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Biological Region</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56.96</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FLNC</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Filamin C</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53.78</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APOE</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Apolipoprotein E</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50.09</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MIR6886</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MicroRNA 6886</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RNA Gene</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50.03</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APOA2</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Apolipoprotein A2</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47.78</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SMARCA4</w:t>
            </w:r>
          </w:p>
        </w:tc>
        <w:tc>
          <w:tcPr>
            <w:tcW w:w="5500" w:type="dxa"/>
            <w:tcBorders/>
            <w:vAlign w:val="center"/>
          </w:tcPr>
          <w:p>
            <w:pPr>
              <w:pStyle w:val="Style20"/>
              <w:widowControl w:val="false"/>
              <w:rPr>
                <w:rFonts w:ascii="TimesNewRoman" w:hAnsi="TimesNewRoman"/>
                <w:color w:val="000000"/>
                <w:sz w:val="22"/>
                <w:szCs w:val="22"/>
                <w:lang w:val="en-US"/>
              </w:rPr>
            </w:pPr>
            <w:r>
              <w:rPr>
                <w:rFonts w:ascii="TimesNewRoman" w:hAnsi="TimesNewRoman"/>
                <w:color w:val="000000"/>
                <w:sz w:val="22"/>
                <w:szCs w:val="22"/>
                <w:lang w:val="en-US"/>
              </w:rPr>
              <w:t>SWI/SNF Related, Matrix Associated, Actin Dependent Regulator Of Chromatin, Subfamily A, Member 4</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41.43</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ABCA1</w:t>
            </w:r>
          </w:p>
        </w:tc>
        <w:tc>
          <w:tcPr>
            <w:tcW w:w="5500" w:type="dxa"/>
            <w:tcBorders/>
            <w:vAlign w:val="center"/>
          </w:tcPr>
          <w:p>
            <w:pPr>
              <w:pStyle w:val="Style20"/>
              <w:widowControl w:val="false"/>
              <w:rPr>
                <w:rFonts w:ascii="TimesNewRoman" w:hAnsi="TimesNewRoman"/>
                <w:color w:val="000000"/>
                <w:sz w:val="22"/>
                <w:szCs w:val="22"/>
                <w:lang w:val="en-US"/>
              </w:rPr>
            </w:pPr>
            <w:r>
              <w:rPr>
                <w:rFonts w:ascii="TimesNewRoman" w:hAnsi="TimesNewRoman"/>
                <w:color w:val="000000"/>
                <w:sz w:val="22"/>
                <w:szCs w:val="22"/>
                <w:lang w:val="en-US"/>
              </w:rPr>
              <w:t>ATP Binding Cassette Subfamily A Member 1</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40.82</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MYH7</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Myosin Heavy Chain 7</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39.13</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GHR</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Growth Hormone Receptor</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39.09</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LMNA</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Lamin A/C</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39.03</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LPL</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Lipoprotein Lipase</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38.92</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RELN</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Reelin</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38.19</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TNNT2</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Troponin T2, Cardiac Type</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37.77</w:t>
            </w:r>
          </w:p>
        </w:tc>
      </w:tr>
      <w:tr>
        <w:trPr/>
        <w:tc>
          <w:tcPr>
            <w:tcW w:w="15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MYLK</w:t>
            </w:r>
          </w:p>
        </w:tc>
        <w:tc>
          <w:tcPr>
            <w:tcW w:w="55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Myosin Light Chain Kinase</w:t>
            </w:r>
          </w:p>
        </w:tc>
        <w:tc>
          <w:tcPr>
            <w:tcW w:w="1700"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20"/>
              <w:widowControl w:val="false"/>
              <w:rPr>
                <w:rFonts w:ascii="TimesNewRoman" w:hAnsi="TimesNewRoman"/>
                <w:color w:val="000000"/>
                <w:sz w:val="22"/>
                <w:szCs w:val="22"/>
              </w:rPr>
            </w:pPr>
            <w:r>
              <w:rPr>
                <w:rFonts w:ascii="TimesNewRoman" w:hAnsi="TimesNewRoman"/>
                <w:color w:val="000000"/>
                <w:sz w:val="22"/>
                <w:szCs w:val="22"/>
              </w:rPr>
              <w:t>37.45</w:t>
            </w:r>
          </w:p>
        </w:tc>
      </w:tr>
    </w:tbl>
    <w:p>
      <w:pPr>
        <w:pStyle w:val="TextBody"/>
        <w:rPr/>
      </w:pPr>
      <w:r>
        <w:rPr/>
      </w:r>
    </w:p>
    <w:p>
      <w:pPr>
        <w:pStyle w:val="TextBody"/>
        <w:rPr>
          <w:rFonts w:ascii="TimesNewRoman" w:hAnsi="TimesNewRoman"/>
          <w:color w:val="000000"/>
          <w:sz w:val="22"/>
          <w:szCs w:val="22"/>
          <w:lang w:val="en-US"/>
        </w:rPr>
      </w:pPr>
      <w:r>
        <w:rPr>
          <w:rFonts w:ascii="TimesNewRoman" w:hAnsi="TimesNewRoman"/>
          <w:color w:val="000000"/>
          <w:sz w:val="22"/>
          <w:szCs w:val="22"/>
        </w:rPr>
        <w:t>Интернет</w:t>
      </w:r>
      <w:r>
        <w:rPr>
          <w:rFonts w:ascii="TimesNewRoman" w:hAnsi="TimesNewRoman"/>
          <w:color w:val="000000"/>
          <w:sz w:val="22"/>
          <w:szCs w:val="22"/>
          <w:lang w:val="en-US"/>
        </w:rPr>
        <w:t>-</w:t>
      </w:r>
      <w:r>
        <w:rPr>
          <w:rFonts w:ascii="TimesNewRoman" w:hAnsi="TimesNewRoman"/>
          <w:color w:val="000000"/>
          <w:sz w:val="22"/>
          <w:szCs w:val="22"/>
        </w:rPr>
        <w:t>ресурс</w:t>
      </w:r>
      <w:r>
        <w:rPr>
          <w:rFonts w:ascii="TimesNewRoman" w:hAnsi="TimesNewRoman"/>
          <w:color w:val="000000"/>
          <w:sz w:val="22"/>
          <w:szCs w:val="22"/>
          <w:lang w:val="en-US"/>
        </w:rPr>
        <w:t xml:space="preserve"> OMIM (Online Mendelian Inheritance in Man) (https://omim.org/)  </w:t>
      </w:r>
      <w:r>
        <w:rPr>
          <w:rFonts w:ascii="TimesNewRoman" w:hAnsi="TimesNewRoman"/>
          <w:color w:val="000000"/>
          <w:sz w:val="22"/>
          <w:szCs w:val="22"/>
        </w:rPr>
        <w:t>дал</w:t>
      </w:r>
      <w:r>
        <w:rPr>
          <w:rFonts w:ascii="TimesNewRoman" w:hAnsi="TimesNewRoman"/>
          <w:color w:val="000000"/>
          <w:sz w:val="22"/>
          <w:szCs w:val="22"/>
          <w:lang w:val="en-US"/>
        </w:rPr>
        <w:t xml:space="preserve"> 1,784 </w:t>
      </w:r>
      <w:r>
        <w:rPr>
          <w:rFonts w:ascii="TimesNewRoman" w:hAnsi="TimesNewRoman"/>
          <w:color w:val="000000"/>
          <w:sz w:val="22"/>
          <w:szCs w:val="22"/>
        </w:rPr>
        <w:t>ген</w:t>
      </w:r>
      <w:r>
        <w:rPr>
          <w:rFonts w:ascii="TimesNewRoman" w:hAnsi="TimesNewRoman"/>
          <w:color w:val="000000"/>
          <w:sz w:val="22"/>
          <w:szCs w:val="22"/>
          <w:lang w:val="en-US"/>
        </w:rPr>
        <w:t>.</w:t>
      </w:r>
    </w:p>
    <w:p>
      <w:pPr>
        <w:pStyle w:val="Normal"/>
        <w:spacing w:before="0" w:after="140"/>
        <w:rPr>
          <w:rFonts w:ascii="TimesNewRoman" w:hAnsi="TimesNewRoman"/>
          <w:color w:val="000000"/>
          <w:sz w:val="22"/>
          <w:szCs w:val="22"/>
          <w:lang w:val="en-US"/>
        </w:rPr>
      </w:pPr>
      <w:r>
        <w:rPr>
          <w:rFonts w:ascii="TimesNewRoman" w:hAnsi="TimesNewRoman"/>
          <w:color w:val="000000"/>
          <w:sz w:val="22"/>
          <w:szCs w:val="22"/>
          <w:lang w:val="en-US"/>
        </w:rPr>
      </w:r>
    </w:p>
    <w:p>
      <w:pPr>
        <w:pStyle w:val="Heading2"/>
        <w:spacing w:before="0" w:after="140"/>
        <w:rPr>
          <w:rFonts w:ascii="TimesNewRoman" w:hAnsi="TimesNewRoman"/>
          <w:color w:val="000000"/>
          <w:lang w:val="en-US"/>
        </w:rPr>
      </w:pPr>
      <w:r>
        <w:rPr>
          <w:rFonts w:ascii="TimesNewRoman" w:hAnsi="TimesNewRoman"/>
          <w:color w:val="000000"/>
          <w:lang w:val="en-US"/>
        </w:rPr>
        <w:t xml:space="preserve">2. </w:t>
      </w:r>
      <w:r>
        <w:rPr>
          <w:rFonts w:ascii="TimesNewRoman" w:hAnsi="TimesNewRoman"/>
          <w:color w:val="000000"/>
        </w:rPr>
        <w:t>Расчет</w:t>
      </w:r>
      <w:r>
        <w:rPr>
          <w:rFonts w:ascii="TimesNewRoman" w:hAnsi="TimesNewRoman"/>
          <w:color w:val="000000"/>
          <w:lang w:val="en-US"/>
        </w:rPr>
        <w:t xml:space="preserve"> </w:t>
      </w:r>
      <w:r>
        <w:rPr>
          <w:rFonts w:ascii="TimesNewRoman" w:hAnsi="TimesNewRoman"/>
          <w:color w:val="000000"/>
        </w:rPr>
        <w:t>категорий</w:t>
      </w:r>
      <w:r>
        <w:rPr>
          <w:rFonts w:ascii="TimesNewRoman" w:hAnsi="TimesNewRoman"/>
          <w:color w:val="000000"/>
          <w:lang w:val="en-US"/>
        </w:rPr>
        <w:t xml:space="preserve"> </w:t>
      </w:r>
      <w:r>
        <w:rPr>
          <w:rFonts w:ascii="TimesNewRoman" w:hAnsi="TimesNewRoman"/>
          <w:color w:val="000000"/>
        </w:rPr>
        <w:t>генных</w:t>
      </w:r>
      <w:r>
        <w:rPr>
          <w:rFonts w:ascii="TimesNewRoman" w:hAnsi="TimesNewRoman"/>
          <w:color w:val="000000"/>
          <w:lang w:val="en-US"/>
        </w:rPr>
        <w:t xml:space="preserve"> </w:t>
      </w:r>
      <w:r>
        <w:rPr>
          <w:rFonts w:ascii="TimesNewRoman" w:hAnsi="TimesNewRoman"/>
          <w:color w:val="000000"/>
        </w:rPr>
        <w:t>онтологий</w:t>
      </w:r>
      <w:r>
        <w:rPr>
          <w:rFonts w:ascii="TimesNewRoman" w:hAnsi="TimesNewRoman"/>
          <w:color w:val="000000"/>
          <w:lang w:val="en-US"/>
        </w:rPr>
        <w:t>.</w:t>
      </w:r>
    </w:p>
    <w:p>
      <w:pPr>
        <w:pStyle w:val="Normal"/>
        <w:rPr>
          <w:rFonts w:ascii="TimesNewRoman" w:hAnsi="TimesNewRoman"/>
          <w:color w:val="000000"/>
          <w:sz w:val="22"/>
          <w:szCs w:val="22"/>
        </w:rPr>
      </w:pPr>
      <w:r>
        <w:rPr>
          <w:rFonts w:ascii="TimesNewRoman" w:hAnsi="TimesNewRoman"/>
          <w:color w:val="000000"/>
          <w:sz w:val="22"/>
          <w:szCs w:val="22"/>
        </w:rPr>
        <w:t>Для</w:t>
      </w:r>
      <w:r>
        <w:rPr>
          <w:rFonts w:ascii="TimesNewRoman" w:hAnsi="TimesNewRoman"/>
          <w:color w:val="000000"/>
          <w:sz w:val="22"/>
          <w:szCs w:val="22"/>
          <w:lang w:val="en-US"/>
        </w:rPr>
        <w:t xml:space="preserve"> </w:t>
      </w:r>
      <w:r>
        <w:rPr>
          <w:rFonts w:ascii="TimesNewRoman" w:hAnsi="TimesNewRoman"/>
          <w:color w:val="000000"/>
          <w:sz w:val="22"/>
          <w:szCs w:val="22"/>
        </w:rPr>
        <w:t>анализа</w:t>
      </w:r>
      <w:r>
        <w:rPr>
          <w:rFonts w:ascii="TimesNewRoman" w:hAnsi="TimesNewRoman"/>
          <w:color w:val="000000"/>
          <w:sz w:val="22"/>
          <w:szCs w:val="22"/>
          <w:lang w:val="en-US"/>
        </w:rPr>
        <w:t xml:space="preserve"> </w:t>
      </w:r>
      <w:r>
        <w:rPr>
          <w:rFonts w:ascii="TimesNewRoman" w:hAnsi="TimesNewRoman"/>
          <w:color w:val="000000"/>
          <w:sz w:val="22"/>
          <w:szCs w:val="22"/>
        </w:rPr>
        <w:t>категорий</w:t>
      </w:r>
      <w:r>
        <w:rPr>
          <w:rFonts w:ascii="TimesNewRoman" w:hAnsi="TimesNewRoman"/>
          <w:color w:val="000000"/>
          <w:sz w:val="22"/>
          <w:szCs w:val="22"/>
          <w:lang w:val="en-US"/>
        </w:rPr>
        <w:t xml:space="preserve"> </w:t>
      </w:r>
      <w:r>
        <w:rPr>
          <w:rFonts w:ascii="TimesNewRoman" w:hAnsi="TimesNewRoman"/>
          <w:color w:val="000000"/>
          <w:sz w:val="22"/>
          <w:szCs w:val="22"/>
        </w:rPr>
        <w:t>генных</w:t>
      </w:r>
      <w:r>
        <w:rPr>
          <w:rFonts w:ascii="TimesNewRoman" w:hAnsi="TimesNewRoman"/>
          <w:color w:val="000000"/>
          <w:sz w:val="22"/>
          <w:szCs w:val="22"/>
          <w:lang w:val="en-US"/>
        </w:rPr>
        <w:t xml:space="preserve"> </w:t>
      </w:r>
      <w:r>
        <w:rPr>
          <w:rFonts w:ascii="TimesNewRoman" w:hAnsi="TimesNewRoman"/>
          <w:color w:val="000000"/>
          <w:sz w:val="22"/>
          <w:szCs w:val="22"/>
        </w:rPr>
        <w:t>онтологий</w:t>
      </w:r>
      <w:r>
        <w:rPr>
          <w:rFonts w:ascii="TimesNewRoman" w:hAnsi="TimesNewRoman"/>
          <w:color w:val="000000"/>
          <w:sz w:val="22"/>
          <w:szCs w:val="22"/>
          <w:lang w:val="en-US"/>
        </w:rPr>
        <w:t xml:space="preserve"> </w:t>
      </w:r>
      <w:r>
        <w:rPr>
          <w:rFonts w:ascii="TimesNewRoman" w:hAnsi="TimesNewRoman"/>
          <w:color w:val="000000"/>
          <w:sz w:val="22"/>
          <w:szCs w:val="22"/>
        </w:rPr>
        <w:t>использовались</w:t>
      </w:r>
      <w:r>
        <w:rPr>
          <w:rFonts w:ascii="TimesNewRoman" w:hAnsi="TimesNewRoman"/>
          <w:color w:val="000000"/>
          <w:sz w:val="22"/>
          <w:szCs w:val="22"/>
          <w:lang w:val="en-US"/>
        </w:rPr>
        <w:t xml:space="preserve"> </w:t>
      </w:r>
      <w:r>
        <w:rPr>
          <w:rFonts w:ascii="TimesNewRoman" w:hAnsi="TimesNewRoman"/>
          <w:color w:val="000000"/>
          <w:sz w:val="22"/>
          <w:szCs w:val="22"/>
        </w:rPr>
        <w:t>ресурсы</w:t>
      </w:r>
      <w:r>
        <w:rPr>
          <w:rFonts w:ascii="TimesNewRoman" w:hAnsi="TimesNewRoman"/>
          <w:color w:val="000000"/>
          <w:sz w:val="22"/>
          <w:szCs w:val="22"/>
          <w:lang w:val="en-US"/>
        </w:rPr>
        <w:t xml:space="preserve"> DAVID (Database for Annotation, Visualization and Integrated Discovery) (https://david.ncifcrf.gov/summary.jsp). </w:t>
      </w:r>
      <w:r>
        <w:rPr>
          <w:rFonts w:ascii="TimesNewRoman" w:hAnsi="TimesNewRoman"/>
          <w:color w:val="000000"/>
          <w:sz w:val="22"/>
          <w:szCs w:val="22"/>
        </w:rPr>
        <w:t xml:space="preserve">Список 1,620 генов человека (использовался список генов из «GeneCards») был загружен через интерфейс </w:t>
      </w:r>
      <w:r>
        <w:rPr>
          <w:rFonts w:ascii="TimesNewRoman" w:hAnsi="TimesNewRoman"/>
          <w:color w:val="000000"/>
          <w:sz w:val="22"/>
          <w:szCs w:val="22"/>
          <w:lang w:val="en-US"/>
        </w:rPr>
        <w:t>DAVID</w:t>
      </w:r>
      <w:r>
        <w:rPr>
          <w:rFonts w:ascii="TimesNewRoman" w:hAnsi="TimesNewRoman"/>
          <w:color w:val="000000"/>
          <w:sz w:val="22"/>
          <w:szCs w:val="22"/>
        </w:rPr>
        <w:t xml:space="preserve"> для поиска значимых категорий генных онтологий для этой группы генов. Было распознано 1584 идентификатора (Таблица №2.1).</w:t>
      </w:r>
    </w:p>
    <w:p>
      <w:pPr>
        <w:pStyle w:val="Normal"/>
        <w:rPr>
          <w:rFonts w:ascii="TimesNewRoman" w:hAnsi="TimesNewRoman"/>
          <w:color w:val="000000"/>
          <w:sz w:val="22"/>
          <w:szCs w:val="22"/>
        </w:rPr>
      </w:pPr>
      <w:r>
        <w:rPr>
          <w:rFonts w:ascii="TimesNewRoman" w:hAnsi="TimesNewRoman"/>
          <w:color w:val="000000"/>
          <w:sz w:val="22"/>
          <w:szCs w:val="22"/>
        </w:rPr>
        <w:t xml:space="preserve">Таблица была ограничена до значений ненормированного </w:t>
      </w:r>
      <w:r>
        <w:rPr>
          <w:rFonts w:ascii="TimesNewRoman" w:hAnsi="TimesNewRoman"/>
          <w:color w:val="000000"/>
          <w:sz w:val="22"/>
          <w:szCs w:val="22"/>
          <w:lang w:val="en-US"/>
        </w:rPr>
        <w:t>p</w:t>
      </w:r>
      <w:r>
        <w:rPr>
          <w:rFonts w:ascii="TimesNewRoman" w:hAnsi="TimesNewRoman"/>
          <w:color w:val="000000"/>
          <w:sz w:val="22"/>
          <w:szCs w:val="22"/>
        </w:rPr>
        <w:t>-</w:t>
      </w:r>
      <w:r>
        <w:rPr>
          <w:rFonts w:ascii="TimesNewRoman" w:hAnsi="TimesNewRoman"/>
          <w:color w:val="000000"/>
          <w:sz w:val="22"/>
          <w:szCs w:val="22"/>
          <w:lang w:val="en-US"/>
        </w:rPr>
        <w:t>value</w:t>
      </w:r>
      <w:r>
        <w:rPr>
          <w:rFonts w:ascii="TimesNewRoman" w:hAnsi="TimesNewRoman"/>
          <w:color w:val="000000"/>
          <w:sz w:val="22"/>
          <w:szCs w:val="22"/>
        </w:rPr>
        <w:t xml:space="preserve"> до Е-15.</w:t>
      </w:r>
    </w:p>
    <w:p>
      <w:pPr>
        <w:pStyle w:val="Normal"/>
        <w:rPr>
          <w:rFonts w:ascii="TimesNewRoman" w:hAnsi="TimesNewRoman"/>
          <w:color w:val="000000"/>
          <w:sz w:val="22"/>
          <w:szCs w:val="22"/>
        </w:rPr>
      </w:pPr>
      <w:r>
        <w:rPr>
          <w:rFonts w:ascii="TimesNewRoman" w:hAnsi="TimesNewRoman"/>
          <w:color w:val="000000"/>
          <w:sz w:val="22"/>
          <w:szCs w:val="22"/>
        </w:rPr>
        <w:t>Как видно из таблицы, наиболее значимыми категориями для генов СГХС являются внеклеточное пространство (</w:t>
      </w:r>
      <w:r>
        <w:rPr>
          <w:rFonts w:ascii="TimesNewRoman" w:hAnsi="TimesNewRoman"/>
          <w:color w:val="000000"/>
          <w:sz w:val="22"/>
          <w:szCs w:val="22"/>
          <w:lang w:val="en-US"/>
        </w:rPr>
        <w:t>extracellular</w:t>
      </w:r>
      <w:r>
        <w:rPr>
          <w:rFonts w:ascii="TimesNewRoman" w:hAnsi="TimesNewRoman"/>
          <w:color w:val="000000"/>
          <w:sz w:val="22"/>
          <w:szCs w:val="22"/>
        </w:rPr>
        <w:t xml:space="preserve"> </w:t>
      </w:r>
      <w:r>
        <w:rPr>
          <w:rFonts w:ascii="TimesNewRoman" w:hAnsi="TimesNewRoman"/>
          <w:color w:val="000000"/>
          <w:sz w:val="22"/>
          <w:szCs w:val="22"/>
          <w:lang w:val="en-US"/>
        </w:rPr>
        <w:t>space</w:t>
      </w:r>
      <w:r>
        <w:rPr>
          <w:rFonts w:ascii="TimesNewRoman" w:hAnsi="TimesNewRoman"/>
          <w:color w:val="000000"/>
          <w:sz w:val="22"/>
          <w:szCs w:val="22"/>
        </w:rPr>
        <w:t xml:space="preserve">, </w:t>
      </w:r>
      <w:r>
        <w:rPr>
          <w:rFonts w:ascii="TimesNewRoman" w:hAnsi="TimesNewRoman"/>
          <w:color w:val="000000"/>
          <w:sz w:val="22"/>
          <w:szCs w:val="22"/>
          <w:lang w:val="en-US"/>
        </w:rPr>
        <w:t>extracellular</w:t>
      </w:r>
      <w:r>
        <w:rPr>
          <w:rFonts w:ascii="TimesNewRoman" w:hAnsi="TimesNewRoman"/>
          <w:color w:val="000000"/>
          <w:sz w:val="22"/>
          <w:szCs w:val="22"/>
        </w:rPr>
        <w:t xml:space="preserve"> </w:t>
      </w:r>
      <w:r>
        <w:rPr>
          <w:rFonts w:ascii="TimesNewRoman" w:hAnsi="TimesNewRoman"/>
          <w:color w:val="000000"/>
          <w:sz w:val="22"/>
          <w:szCs w:val="22"/>
          <w:lang w:val="en-US"/>
        </w:rPr>
        <w:t>region</w:t>
      </w:r>
      <w:r>
        <w:rPr>
          <w:rFonts w:ascii="TimesNewRoman" w:hAnsi="TimesNewRoman"/>
          <w:color w:val="000000"/>
          <w:sz w:val="22"/>
          <w:szCs w:val="22"/>
        </w:rPr>
        <w:t>),  гомеостаз и метаболический путь холестерина (</w:t>
      </w:r>
      <w:r>
        <w:rPr>
          <w:rFonts w:ascii="TimesNewRoman" w:hAnsi="TimesNewRoman"/>
          <w:color w:val="000000"/>
          <w:sz w:val="22"/>
          <w:szCs w:val="22"/>
          <w:lang w:val="en-US"/>
        </w:rPr>
        <w:t>cholesterol</w:t>
      </w:r>
      <w:r>
        <w:rPr>
          <w:rFonts w:ascii="TimesNewRoman" w:hAnsi="TimesNewRoman"/>
          <w:color w:val="000000"/>
          <w:sz w:val="22"/>
          <w:szCs w:val="22"/>
        </w:rPr>
        <w:t xml:space="preserve"> </w:t>
      </w:r>
      <w:r>
        <w:rPr>
          <w:rFonts w:ascii="TimesNewRoman" w:hAnsi="TimesNewRoman"/>
          <w:color w:val="000000"/>
          <w:sz w:val="22"/>
          <w:szCs w:val="22"/>
          <w:lang w:val="en-US"/>
        </w:rPr>
        <w:t>homeostasis</w:t>
      </w:r>
      <w:r>
        <w:rPr>
          <w:rFonts w:ascii="TimesNewRoman" w:hAnsi="TimesNewRoman"/>
          <w:color w:val="000000"/>
          <w:sz w:val="22"/>
          <w:szCs w:val="22"/>
        </w:rPr>
        <w:t xml:space="preserve">, </w:t>
      </w:r>
      <w:r>
        <w:rPr>
          <w:rFonts w:ascii="TimesNewRoman" w:hAnsi="TimesNewRoman"/>
          <w:color w:val="000000"/>
          <w:sz w:val="22"/>
          <w:szCs w:val="22"/>
          <w:lang w:val="en-US"/>
        </w:rPr>
        <w:t>cholesterol</w:t>
      </w:r>
      <w:r>
        <w:rPr>
          <w:rFonts w:ascii="TimesNewRoman" w:hAnsi="TimesNewRoman"/>
          <w:color w:val="000000"/>
          <w:sz w:val="22"/>
          <w:szCs w:val="22"/>
        </w:rPr>
        <w:t xml:space="preserve"> </w:t>
      </w:r>
      <w:r>
        <w:rPr>
          <w:rFonts w:ascii="TimesNewRoman" w:hAnsi="TimesNewRoman"/>
          <w:color w:val="000000"/>
          <w:sz w:val="22"/>
          <w:szCs w:val="22"/>
          <w:lang w:val="en-US"/>
        </w:rPr>
        <w:t>metabolic</w:t>
      </w:r>
      <w:r>
        <w:rPr>
          <w:rFonts w:ascii="TimesNewRoman" w:hAnsi="TimesNewRoman"/>
          <w:color w:val="000000"/>
          <w:sz w:val="22"/>
          <w:szCs w:val="22"/>
        </w:rPr>
        <w:t xml:space="preserve"> </w:t>
      </w:r>
      <w:r>
        <w:rPr>
          <w:rFonts w:ascii="TimesNewRoman" w:hAnsi="TimesNewRoman"/>
          <w:color w:val="000000"/>
          <w:sz w:val="22"/>
          <w:szCs w:val="22"/>
          <w:lang w:val="en-US"/>
        </w:rPr>
        <w:t>process</w:t>
      </w:r>
      <w:r>
        <w:rPr>
          <w:rFonts w:ascii="TimesNewRoman" w:hAnsi="TimesNewRoman"/>
          <w:color w:val="000000"/>
          <w:sz w:val="22"/>
          <w:szCs w:val="22"/>
        </w:rPr>
        <w:t>), белковое связывание (</w:t>
      </w:r>
      <w:r>
        <w:rPr>
          <w:rFonts w:ascii="TimesNewRoman" w:hAnsi="TimesNewRoman"/>
          <w:color w:val="000000"/>
          <w:sz w:val="22"/>
          <w:szCs w:val="22"/>
          <w:lang w:val="en-US"/>
        </w:rPr>
        <w:t>protein</w:t>
      </w:r>
      <w:r>
        <w:rPr>
          <w:rFonts w:ascii="TimesNewRoman" w:hAnsi="TimesNewRoman"/>
          <w:color w:val="000000"/>
          <w:sz w:val="22"/>
          <w:szCs w:val="22"/>
        </w:rPr>
        <w:t xml:space="preserve"> </w:t>
      </w:r>
      <w:r>
        <w:rPr>
          <w:rFonts w:ascii="TimesNewRoman" w:hAnsi="TimesNewRoman"/>
          <w:color w:val="000000"/>
          <w:sz w:val="22"/>
          <w:szCs w:val="22"/>
          <w:lang w:val="en-US"/>
        </w:rPr>
        <w:t>binding</w:t>
      </w:r>
      <w:r>
        <w:rPr>
          <w:rFonts w:ascii="TimesNewRoman" w:hAnsi="TimesNewRoman"/>
          <w:color w:val="000000"/>
          <w:sz w:val="22"/>
          <w:szCs w:val="22"/>
        </w:rPr>
        <w:t>).</w:t>
      </w:r>
    </w:p>
    <w:p>
      <w:pPr>
        <w:pStyle w:val="Normal"/>
        <w:rPr>
          <w:rFonts w:ascii="TimesNewRoman" w:hAnsi="TimesNewRoman"/>
          <w:color w:val="000000"/>
          <w:sz w:val="22"/>
          <w:szCs w:val="22"/>
        </w:rPr>
      </w:pPr>
      <w:r>
        <w:rPr>
          <w:rFonts w:ascii="TimesNewRoman" w:hAnsi="TimesNewRoman"/>
          <w:color w:val="000000"/>
          <w:sz w:val="22"/>
          <w:szCs w:val="22"/>
        </w:rPr>
        <w:t>В целом по категориям из таблицы, большую роль в развитии заболевания играет нарушение процессов обмена липидами, в особенности их транспорт.</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jc w:val="right"/>
        <w:rPr/>
      </w:pPr>
      <w:r>
        <w:rPr>
          <w:rFonts w:ascii="TimesNewRoman" w:hAnsi="TimesNewRoman"/>
          <w:b/>
          <w:color w:val="000000"/>
          <w:sz w:val="22"/>
          <w:szCs w:val="22"/>
        </w:rPr>
        <w:t>Таблица 2.1</w:t>
      </w:r>
      <w:r>
        <w:rPr>
          <w:rFonts w:ascii="TimesNewRoman" w:hAnsi="TimesNewRoman"/>
          <w:color w:val="000000"/>
          <w:sz w:val="22"/>
          <w:szCs w:val="22"/>
        </w:rPr>
        <w:t xml:space="preserve"> Категории генных онтологий для генов СГХС по </w:t>
      </w:r>
      <w:r>
        <w:rPr>
          <w:rFonts w:ascii="TimesNewRoman" w:hAnsi="TimesNewRoman"/>
          <w:color w:val="000000"/>
          <w:sz w:val="22"/>
          <w:szCs w:val="22"/>
          <w:lang w:val="en-US"/>
        </w:rPr>
        <w:t>DAVID</w:t>
      </w:r>
    </w:p>
    <w:tbl>
      <w:tblPr>
        <w:tblW w:w="9698" w:type="dxa"/>
        <w:jc w:val="left"/>
        <w:tblInd w:w="0" w:type="dxa"/>
        <w:tblLayout w:type="fixed"/>
        <w:tblCellMar>
          <w:top w:w="0" w:type="dxa"/>
          <w:left w:w="30" w:type="dxa"/>
          <w:bottom w:w="0" w:type="dxa"/>
          <w:right w:w="30" w:type="dxa"/>
        </w:tblCellMar>
        <w:tblLook w:val="0000" w:noHBand="0" w:noVBand="0" w:firstColumn="0" w:lastRow="0" w:lastColumn="0" w:firstRow="0"/>
      </w:tblPr>
      <w:tblGrid>
        <w:gridCol w:w="2610"/>
        <w:gridCol w:w="3678"/>
        <w:gridCol w:w="800"/>
        <w:gridCol w:w="1072"/>
        <w:gridCol w:w="1538"/>
      </w:tblGrid>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Группа</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Категория</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Кол-во генов</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P-Значение</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P-Значение по Бенжамину</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extracellular space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283</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4,70E-52</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3,50E-49</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response to drug</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115</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1,50E-43</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9,00E-40</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cholesterol homeostasis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1,80E-37</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5,50E-34</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extracellular region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285</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2,20E-37</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8,30E-35</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cholesterol metabolic process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50</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8,10E-37</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1,70E-33</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response to hypoxia</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78</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4,90E-36</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7,50E-33</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GOTERM_MF_DIRECT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protein binding</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975</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9,40E-32</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1,70E-28</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positive regulation of transcription from RNA polymerase II promoter</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192</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7,10E-27</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8,70E-24</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cilium assembly</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57</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8,80E-27</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9,00E-24</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inflammatory response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103</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1,80E-25</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1,60E-22</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positive regulation of cell proliferation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116</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4,60E-25</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3,30E-22</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aging</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64</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4,80E-25</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3,30E-22</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GOTERM_MF_DIRECT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enzyme binding</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93</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1,40E-24</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1,30E-21</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cilium morphogenesis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57</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2,50E-24</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1,60E-21</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primary cilium</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42</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3,20E-24</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6,00E-22</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extracellular exosome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378</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3,40E-24</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6,00E-22</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cytosol</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428</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4,00E-24</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6,00E-22</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platelet degranulation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6,80E-24</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3,80E-21</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negative regulation of apoptotic process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112</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8,80E-24</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4,50E-21</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cell surface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118</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1,30E-22</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1,70E-20</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cilium</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56</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3,20E-22</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3,40E-20</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plasma membrane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495</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2,00E-21</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1,90E-19</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ciliary tip</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29</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4,60E-20</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3,90E-18</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platelet alpha granule lumen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32</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7,60E-20</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5,80E-18</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response to lipopolysaccharide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57</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9,80E-20</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4,70E-17</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lipid metabolic process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55</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3,00E-19</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1,30E-16</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lipoprotein metabolic process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27</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3,30E-19</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1,30E-16</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GOTERM_MF_DIRECT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protein homodimerization activity</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138</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9,40E-19</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5,70E-16</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positive regulation of smooth muscle cell proliferation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33</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1,30E-18</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4,90E-16</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membrane raft</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61</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1,30E-18</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9,30E-17</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triglyceride homeostasis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22</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2,90E-18</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1,10E-15</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response to nutrient</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36</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4,70E-18</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1,60E-15</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response to ethanol</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43</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4,90E-18</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1,60E-15</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positive regulation of ERK1 and ERK2 cascade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56</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1,50E-17</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4,50E-15</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membrane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292</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1,60E-17</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1,00E-15</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positive regulation of angiogenesis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44</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3,80E-17</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1,10E-14</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photoreceptor cell maintenance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24</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5,60E-17</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1,60E-14</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ciliary basal body</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39</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7,40E-17</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4,30E-15</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leukocyte migration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45</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8,00E-17</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2,10E-14</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triglyceride metabolic process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24</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1,50E-16</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3,90E-14</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external side of plasma membrane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59</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1,50E-16</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8,20E-15</w:t>
            </w:r>
          </w:p>
        </w:tc>
      </w:tr>
      <w:tr>
        <w:trPr>
          <w:trHeight w:val="298" w:hRule="atLeast"/>
        </w:trPr>
        <w:tc>
          <w:tcPr>
            <w:tcW w:w="261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high-density lipoprotein particle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19</w:t>
            </w:r>
          </w:p>
        </w:tc>
        <w:tc>
          <w:tcPr>
            <w:tcW w:w="1072"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1,70E-16</w:t>
            </w:r>
          </w:p>
        </w:tc>
        <w:tc>
          <w:tcPr>
            <w:tcW w:w="1538"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8,40E-15</w:t>
            </w:r>
          </w:p>
        </w:tc>
      </w:tr>
    </w:tbl>
    <w:p>
      <w:pPr>
        <w:pStyle w:val="Normal"/>
        <w:rPr>
          <w:rFonts w:ascii="TimesNewRoman" w:hAnsi="TimesNewRoman"/>
          <w:color w:val="000000"/>
          <w:sz w:val="22"/>
          <w:szCs w:val="22"/>
        </w:rPr>
      </w:pPr>
      <w:r>
        <w:rPr>
          <w:rFonts w:ascii="TimesNewRoman" w:hAnsi="TimesNewRoman"/>
          <w:color w:val="000000"/>
          <w:sz w:val="22"/>
          <w:szCs w:val="22"/>
        </w:rPr>
        <w:t xml:space="preserve">Был выполнен анализ генных онтологий для того же списка генов с помощью ресурса </w:t>
      </w:r>
      <w:r>
        <w:rPr>
          <w:rFonts w:ascii="TimesNewRoman" w:hAnsi="TimesNewRoman"/>
          <w:color w:val="000000"/>
          <w:sz w:val="22"/>
          <w:szCs w:val="22"/>
          <w:lang w:val="en-US"/>
        </w:rPr>
        <w:t>PANTHER</w:t>
      </w:r>
      <w:r>
        <w:rPr>
          <w:rFonts w:ascii="TimesNewRoman" w:hAnsi="TimesNewRoman"/>
          <w:color w:val="000000"/>
          <w:sz w:val="22"/>
          <w:szCs w:val="22"/>
        </w:rPr>
        <w:t xml:space="preserve"> (Protein ANalysis THrough Evolutionary Relationships).</w:t>
      </w:r>
    </w:p>
    <w:p>
      <w:pPr>
        <w:pStyle w:val="Normal"/>
        <w:rPr>
          <w:rFonts w:ascii="TimesNewRoman" w:hAnsi="TimesNewRoman"/>
          <w:color w:val="000000"/>
          <w:sz w:val="22"/>
          <w:szCs w:val="22"/>
        </w:rPr>
      </w:pPr>
      <w:r>
        <w:rPr>
          <w:rFonts w:ascii="TimesNewRoman" w:hAnsi="TimesNewRoman"/>
          <w:color w:val="000000"/>
          <w:sz w:val="22"/>
          <w:szCs w:val="22"/>
        </w:rPr>
      </w:r>
    </w:p>
    <w:p>
      <w:pPr>
        <w:pStyle w:val="Normal"/>
        <w:jc w:val="right"/>
        <w:rPr>
          <w:rFonts w:ascii="TimesNewRoman" w:hAnsi="TimesNewRoman"/>
          <w:color w:val="000000"/>
          <w:sz w:val="22"/>
          <w:szCs w:val="22"/>
        </w:rPr>
      </w:pPr>
      <w:r>
        <w:rPr>
          <w:rFonts w:ascii="TimesNewRoman" w:hAnsi="TimesNewRoman"/>
          <w:b/>
          <w:color w:val="000000"/>
          <w:sz w:val="22"/>
          <w:szCs w:val="22"/>
        </w:rPr>
        <w:t>Таблица 2.2</w:t>
      </w:r>
      <w:r>
        <w:rPr>
          <w:rFonts w:ascii="TimesNewRoman" w:hAnsi="TimesNewRoman"/>
          <w:color w:val="000000"/>
          <w:sz w:val="22"/>
          <w:szCs w:val="22"/>
        </w:rPr>
        <w:t xml:space="preserve"> Категории генных онтологий для генов СГХС по </w:t>
      </w:r>
      <w:r>
        <w:rPr>
          <w:rFonts w:ascii="TimesNewRoman" w:hAnsi="TimesNewRoman"/>
          <w:color w:val="000000"/>
          <w:sz w:val="22"/>
          <w:szCs w:val="22"/>
          <w:lang w:val="en-US"/>
        </w:rPr>
        <w:t>PANTHER</w:t>
      </w:r>
      <w:r>
        <w:rPr>
          <w:rFonts w:ascii="TimesNewRoman" w:hAnsi="TimesNewRoman"/>
          <w:color w:val="000000"/>
          <w:sz w:val="22"/>
          <w:szCs w:val="22"/>
        </w:rPr>
        <w:t xml:space="preserve"> (биологические процессы)</w:t>
      </w:r>
    </w:p>
    <w:tbl>
      <w:tblPr>
        <w:tblW w:w="9700" w:type="dxa"/>
        <w:jc w:val="left"/>
        <w:tblInd w:w="0" w:type="dxa"/>
        <w:tblLayout w:type="fixed"/>
        <w:tblCellMar>
          <w:top w:w="0" w:type="dxa"/>
          <w:left w:w="30" w:type="dxa"/>
          <w:bottom w:w="0" w:type="dxa"/>
          <w:right w:w="30" w:type="dxa"/>
        </w:tblCellMar>
        <w:tblLook w:val="0000" w:noHBand="0" w:noVBand="0" w:firstColumn="0" w:lastRow="0" w:lastColumn="0" w:firstRow="0"/>
      </w:tblPr>
      <w:tblGrid>
        <w:gridCol w:w="6465"/>
        <w:gridCol w:w="1894"/>
        <w:gridCol w:w="1341"/>
      </w:tblGrid>
      <w:tr>
        <w:trPr>
          <w:trHeight w:val="323" w:hRule="atLeast"/>
        </w:trPr>
        <w:tc>
          <w:tcPr>
            <w:tcW w:w="6465" w:type="dxa"/>
            <w:tcBorders/>
            <w:vAlign w:val="bottom"/>
          </w:tcPr>
          <w:p>
            <w:pPr>
              <w:pStyle w:val="Normal"/>
              <w:widowControl w:val="false"/>
              <w:jc w:val="both"/>
              <w:rPr>
                <w:rFonts w:ascii="TimesNewRoman" w:hAnsi="TimesNewRoman"/>
                <w:color w:val="000000"/>
                <w:sz w:val="22"/>
                <w:szCs w:val="22"/>
              </w:rPr>
            </w:pPr>
            <w:r>
              <w:rPr>
                <w:rFonts w:ascii="TimesNewRoman" w:hAnsi="TimesNewRoman"/>
                <w:color w:val="000000"/>
                <w:sz w:val="22"/>
                <w:szCs w:val="22"/>
              </w:rPr>
              <w:t>Категории генных онтологий для молекулярных функций</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Количество генов</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P - Значение</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triglyceride homeostasis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1.00E-12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response to toxic substance</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68</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1.23E-12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cytosolic calcium ion concentration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1.35E-12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protein kinase B signaling</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55</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1.43E-12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positive regulation of endocytosis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44</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positive regulation of catabolic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102</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1.64E-12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cell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102</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1.79E-12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phospholipid metabolic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84</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1.81E-12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response to light stimulus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78</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1.84E-12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lipid storage</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1.95E-12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multi-multicellular organism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62</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2.09E-12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camera-type eye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78</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2.13E-12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cell death</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2.15E-12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positive regulation of lipid transport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2.16E-12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negative regulation of cellular protein metabolic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157</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2.27E-12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epithelial cell differentiation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106</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2.52E-12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transmembrane receptor protein tyrosine kinase signaling pathway</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developmental growth</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acylglycerol homeostasis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positive regulation of cell-cell adhesion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2.88E-12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response to ketone</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3.01E-12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cellular component biogenesis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155</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3.91E-12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taxis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response to wounding</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4.09E-12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monocarboxylic acid biosynthetic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54</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4.14E-12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neuron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139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4.44E-12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organelle organization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181</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5.22E-12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angiogenesis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76</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5.31E-12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hepaticobiliary system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5.73E-12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chemotaxis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102</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6.43E-12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biosynthetic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463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6.57E-12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positive regulation of cytosolic calcium ion concentration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72</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7.25E-12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ERK1 and ERK2 cascade</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74</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7.27E-12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reproductive structure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7.30E-12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lipase activity</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epithelial cell migration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64</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7.44E-12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leukocyte cell-cell adhesion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78</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7.88E-12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positive regulation of ion transport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71</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8.38E-12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programmed cell death</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8.39E-12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muscle structure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98</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8.51E-12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cold-induced thermogenesis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9.03E-12</w:t>
            </w:r>
          </w:p>
        </w:tc>
      </w:tr>
    </w:tbl>
    <w:p>
      <w:pPr>
        <w:pStyle w:val="Normal"/>
        <w:rPr/>
      </w:pPr>
      <w:r>
        <w:rPr/>
      </w:r>
    </w:p>
    <w:p>
      <w:pPr>
        <w:pStyle w:val="Normal"/>
        <w:rPr>
          <w:rFonts w:ascii="TimesNewRoman" w:hAnsi="TimesNewRoman"/>
          <w:color w:val="000000"/>
          <w:sz w:val="22"/>
          <w:szCs w:val="22"/>
        </w:rPr>
      </w:pPr>
      <w:r>
        <w:rPr>
          <w:rFonts w:ascii="TimesNewRoman" w:hAnsi="TimesNewRoman"/>
          <w:color w:val="000000"/>
          <w:sz w:val="22"/>
          <w:szCs w:val="22"/>
        </w:rPr>
        <w:t xml:space="preserve">Мы ограничились значениями </w:t>
      </w:r>
      <w:r>
        <w:rPr>
          <w:rFonts w:ascii="TimesNewRoman" w:hAnsi="TimesNewRoman"/>
          <w:color w:val="000000"/>
          <w:sz w:val="22"/>
          <w:szCs w:val="22"/>
          <w:lang w:val="en-US"/>
        </w:rPr>
        <w:t>p</w:t>
      </w:r>
      <w:r>
        <w:rPr>
          <w:rFonts w:ascii="TimesNewRoman" w:hAnsi="TimesNewRoman"/>
          <w:color w:val="000000"/>
          <w:sz w:val="22"/>
          <w:szCs w:val="22"/>
        </w:rPr>
        <w:t>-</w:t>
      </w:r>
      <w:r>
        <w:rPr>
          <w:rFonts w:ascii="TimesNewRoman" w:hAnsi="TimesNewRoman"/>
          <w:color w:val="000000"/>
          <w:sz w:val="22"/>
          <w:szCs w:val="22"/>
          <w:lang w:val="en-US"/>
        </w:rPr>
        <w:t>value</w:t>
      </w:r>
      <w:r>
        <w:rPr>
          <w:rFonts w:ascii="TimesNewRoman" w:hAnsi="TimesNewRoman"/>
          <w:color w:val="000000"/>
          <w:sz w:val="22"/>
          <w:szCs w:val="22"/>
        </w:rPr>
        <w:t xml:space="preserve"> до </w:t>
      </w:r>
      <w:r>
        <w:rPr>
          <w:rFonts w:ascii="TimesNewRoman" w:hAnsi="TimesNewRoman"/>
          <w:color w:val="000000"/>
          <w:sz w:val="22"/>
          <w:szCs w:val="22"/>
          <w:lang w:val="en-US"/>
        </w:rPr>
        <w:t>E</w:t>
      </w:r>
      <w:r>
        <w:rPr>
          <w:rFonts w:ascii="TimesNewRoman" w:hAnsi="TimesNewRoman"/>
          <w:color w:val="000000"/>
          <w:sz w:val="22"/>
          <w:szCs w:val="22"/>
        </w:rPr>
        <w:t>-12, для представления наиболее информативных</w:t>
      </w:r>
    </w:p>
    <w:p>
      <w:pPr>
        <w:pStyle w:val="Normal"/>
        <w:rPr>
          <w:rFonts w:ascii="TimesNewRoman" w:hAnsi="TimesNewRoman"/>
          <w:color w:val="000000"/>
          <w:sz w:val="22"/>
          <w:szCs w:val="22"/>
        </w:rPr>
      </w:pPr>
      <w:r>
        <w:rPr>
          <w:rFonts w:ascii="TimesNewRoman" w:hAnsi="TimesNewRoman"/>
          <w:color w:val="000000"/>
          <w:sz w:val="22"/>
          <w:szCs w:val="22"/>
        </w:rPr>
        <w:t>результатов.</w:t>
      </w:r>
    </w:p>
    <w:p>
      <w:pPr>
        <w:pStyle w:val="Normal"/>
        <w:rPr>
          <w:rFonts w:ascii="TimesNewRoman" w:hAnsi="TimesNewRoman"/>
          <w:color w:val="000000"/>
          <w:sz w:val="22"/>
          <w:szCs w:val="22"/>
        </w:rPr>
      </w:pPr>
      <w:r>
        <w:rPr>
          <w:rFonts w:ascii="TimesNewRoman" w:hAnsi="TimesNewRoman"/>
          <w:color w:val="000000"/>
          <w:sz w:val="22"/>
          <w:szCs w:val="22"/>
        </w:rPr>
        <w:t>Из таблицы видно, что наиболее значимыми категориями для генов СГХС являются негативная регуляция биологических процессов, отвечающих за метаболизм липидов, ответные реакции на токсические вещества, внутриклеточные процессы (катаболизм, регуляция ионов кальция в цитозоле, эндоцитоз и остальные), а также за развитие, пролиферацию дифференцировку различных клеток (клетки эпителия, лейкоциты, нейроны).</w:t>
      </w:r>
    </w:p>
    <w:p>
      <w:pPr>
        <w:pStyle w:val="Normal"/>
        <w:rPr>
          <w:rFonts w:ascii="TimesNewRoman" w:hAnsi="TimesNewRoman"/>
          <w:color w:val="000000"/>
          <w:sz w:val="22"/>
          <w:szCs w:val="22"/>
        </w:rPr>
      </w:pPr>
      <w:r>
        <w:rPr>
          <w:rFonts w:ascii="TimesNewRoman" w:hAnsi="TimesNewRoman"/>
          <w:color w:val="000000"/>
          <w:sz w:val="22"/>
          <w:szCs w:val="22"/>
        </w:rPr>
      </w:r>
    </w:p>
    <w:p>
      <w:pPr>
        <w:pStyle w:val="Normal"/>
        <w:jc w:val="right"/>
        <w:rPr>
          <w:rFonts w:ascii="TimesNewRoman" w:hAnsi="TimesNewRoman"/>
          <w:color w:val="000000"/>
          <w:sz w:val="22"/>
          <w:szCs w:val="22"/>
        </w:rPr>
      </w:pPr>
      <w:r>
        <w:rPr>
          <w:rFonts w:ascii="TimesNewRoman" w:hAnsi="TimesNewRoman"/>
          <w:b/>
          <w:color w:val="000000"/>
          <w:sz w:val="22"/>
          <w:szCs w:val="22"/>
        </w:rPr>
        <w:t>Таблица 2.3</w:t>
      </w:r>
      <w:r>
        <w:rPr>
          <w:rFonts w:ascii="TimesNewRoman" w:hAnsi="TimesNewRoman"/>
          <w:color w:val="000000"/>
          <w:sz w:val="22"/>
          <w:szCs w:val="22"/>
        </w:rPr>
        <w:t xml:space="preserve"> Категории генных онтологий для генов СГХС по </w:t>
      </w:r>
      <w:r>
        <w:rPr>
          <w:rFonts w:ascii="TimesNewRoman" w:hAnsi="TimesNewRoman"/>
          <w:color w:val="000000"/>
          <w:sz w:val="22"/>
          <w:szCs w:val="22"/>
          <w:lang w:val="en-US"/>
        </w:rPr>
        <w:t>PANTHER</w:t>
      </w:r>
      <w:r>
        <w:rPr>
          <w:rFonts w:ascii="TimesNewRoman" w:hAnsi="TimesNewRoman"/>
          <w:color w:val="000000"/>
          <w:sz w:val="22"/>
          <w:szCs w:val="22"/>
        </w:rPr>
        <w:t xml:space="preserve"> (клеточные компартменты)</w:t>
      </w:r>
    </w:p>
    <w:tbl>
      <w:tblPr>
        <w:tblW w:w="9698" w:type="dxa"/>
        <w:jc w:val="left"/>
        <w:tblInd w:w="0" w:type="dxa"/>
        <w:tblLayout w:type="fixed"/>
        <w:tblCellMar>
          <w:top w:w="0" w:type="dxa"/>
          <w:left w:w="30" w:type="dxa"/>
          <w:bottom w:w="0" w:type="dxa"/>
          <w:right w:w="30" w:type="dxa"/>
        </w:tblCellMar>
      </w:tblPr>
      <w:tblGrid>
        <w:gridCol w:w="6320"/>
        <w:gridCol w:w="1687"/>
        <w:gridCol w:w="1691"/>
      </w:tblGrid>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color w:val="000000"/>
                <w:sz w:val="22"/>
                <w:szCs w:val="22"/>
              </w:rPr>
              <w:t>К</w:t>
            </w:r>
            <w:r>
              <w:rPr>
                <w:rFonts w:ascii="TimesNewRoman" w:hAnsi="TimesNewRoman"/>
                <w:sz w:val="22"/>
                <w:szCs w:val="22"/>
              </w:rPr>
              <w:t>атегории генных онтологий для клеточных компартментов</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Количество генов</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 — value</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high-density lipoprotein particle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1273</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2.18E-67</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space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527</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1.85E-50</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membrane-bounded organelle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1300</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2.41E-48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side of membrane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571</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3.06E-47</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region</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609</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7.66E-46</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endomembrane system</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635</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1.59E-45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organelle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1343</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1.11E-44</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cellular anatomical entity</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1584</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1.08E-42</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cellular_component</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1587</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4.80E-41</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intracellular anatomical structure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1388</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2.72E-40</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 projection</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388</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3.57E-39</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plasma membrane bounded cell projection</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373</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7.61E-38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cytoplasmic vesicle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389</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5.08E-36</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intracellular vesicle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389</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5.75E-36</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intracellular organelle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1245</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1.70E-29</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organelle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330</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3.07E-28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membrane-bounded organelle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330</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3.07E-28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vesicle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329</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6.95E-28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exosome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323</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1.23E-26</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plasma membrane region</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227</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1.46E-25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endoplasmic reticulum</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309</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3.55E-25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 periphery</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705</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2.40E-23</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intracellular membrane-bounded organelle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1145</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4.07E-23</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secretory vesicle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192</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3.02E-22</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organelle membrane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459</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3.96E-22</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secretory granule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169</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3.29E-21</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vesicle lumen</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95</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6.58E-21</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cytoplasmic vesicle lumen</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93</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4.89E-20</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 surface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172</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1.67E-19</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secretory granule lumen</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90</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9.56E-19</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plasma membrane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638</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5.89E-18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 junction</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292</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2.04E-17</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membrane microdomain</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90</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2.42E-17</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membrane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955</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2.70E-16</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protein-lipid complex</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32</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4.89E-15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lipoprotein particle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31</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6.59E-15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plasma lipoprotein particle</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31</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6.59E-15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cytosol</w:t>
            </w:r>
          </w:p>
        </w:tc>
        <w:tc>
          <w:tcPr>
            <w:tcW w:w="1687"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582</w:t>
            </w:r>
          </w:p>
        </w:tc>
        <w:tc>
          <w:tcPr>
            <w:tcW w:w="1691"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7.97E-15</w:t>
            </w:r>
          </w:p>
        </w:tc>
      </w:tr>
    </w:tbl>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t xml:space="preserve">Порог по значимости категорий был взят на уровне </w:t>
      </w:r>
      <w:r>
        <w:rPr>
          <w:rFonts w:ascii="TimesNewRoman" w:hAnsi="TimesNewRoman"/>
          <w:color w:val="000000"/>
          <w:sz w:val="22"/>
          <w:szCs w:val="22"/>
          <w:lang w:val="en-US"/>
        </w:rPr>
        <w:t>E</w:t>
      </w:r>
      <w:r>
        <w:rPr>
          <w:rFonts w:ascii="TimesNewRoman" w:hAnsi="TimesNewRoman"/>
          <w:color w:val="000000"/>
          <w:sz w:val="22"/>
          <w:szCs w:val="22"/>
        </w:rPr>
        <w:t xml:space="preserve">-15. </w:t>
      </w:r>
    </w:p>
    <w:p>
      <w:pPr>
        <w:pStyle w:val="Normal"/>
        <w:rPr>
          <w:rFonts w:ascii="TimesNewRoman" w:hAnsi="TimesNewRoman"/>
          <w:color w:val="000000"/>
          <w:sz w:val="22"/>
          <w:szCs w:val="22"/>
        </w:rPr>
      </w:pPr>
      <w:r>
        <w:rPr>
          <w:rFonts w:ascii="TimesNewRoman" w:hAnsi="TimesNewRoman"/>
          <w:color w:val="000000"/>
          <w:sz w:val="22"/>
          <w:szCs w:val="22"/>
        </w:rPr>
        <w:t xml:space="preserve">Из таблицы видно, что самыми значимыми являются категории относящиеся к мембранам (органелл и клеток), что вполне логично для семейной гиперхолестеринемией, так как холестерин транспортируется, запасается и используется клетками в фосфолипидных мембранах. </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t xml:space="preserve">Далее, аналогично, с помощью </w:t>
      </w:r>
      <w:r>
        <w:rPr>
          <w:rFonts w:ascii="TimesNewRoman" w:hAnsi="TimesNewRoman"/>
          <w:color w:val="000000"/>
          <w:sz w:val="22"/>
          <w:szCs w:val="22"/>
          <w:lang w:val="en-US"/>
        </w:rPr>
        <w:t>PANTHER</w:t>
      </w:r>
      <w:r>
        <w:rPr>
          <w:rFonts w:ascii="TimesNewRoman" w:hAnsi="TimesNewRoman"/>
          <w:color w:val="000000"/>
          <w:sz w:val="22"/>
          <w:szCs w:val="22"/>
        </w:rPr>
        <w:t xml:space="preserve"> была построена таблица онтологий для молекулярных функций.</w:t>
      </w:r>
    </w:p>
    <w:p>
      <w:pPr>
        <w:pStyle w:val="Normal"/>
        <w:jc w:val="right"/>
        <w:rPr>
          <w:rFonts w:ascii="TimesNewRoman" w:hAnsi="TimesNewRoman"/>
          <w:color w:val="000000"/>
          <w:sz w:val="22"/>
          <w:szCs w:val="22"/>
        </w:rPr>
      </w:pPr>
      <w:r>
        <w:rPr>
          <w:rFonts w:ascii="TimesNewRoman" w:hAnsi="TimesNewRoman"/>
          <w:color w:val="000000"/>
          <w:sz w:val="22"/>
          <w:szCs w:val="22"/>
        </w:rPr>
      </w:r>
    </w:p>
    <w:p>
      <w:pPr>
        <w:pStyle w:val="Normal"/>
        <w:jc w:val="right"/>
        <w:rPr>
          <w:rFonts w:ascii="TimesNewRoman" w:hAnsi="TimesNewRoman"/>
          <w:color w:val="000000"/>
          <w:sz w:val="22"/>
          <w:szCs w:val="22"/>
        </w:rPr>
      </w:pPr>
      <w:r>
        <w:rPr>
          <w:rFonts w:ascii="TimesNewRoman" w:hAnsi="TimesNewRoman"/>
          <w:color w:val="000000"/>
          <w:sz w:val="22"/>
          <w:szCs w:val="22"/>
        </w:rPr>
      </w:r>
    </w:p>
    <w:p>
      <w:pPr>
        <w:pStyle w:val="Normal"/>
        <w:jc w:val="right"/>
        <w:rPr>
          <w:rFonts w:ascii="TimesNewRoman" w:hAnsi="TimesNewRoman"/>
          <w:color w:val="000000"/>
          <w:sz w:val="22"/>
          <w:szCs w:val="22"/>
        </w:rPr>
      </w:pPr>
      <w:r>
        <w:rPr>
          <w:rFonts w:ascii="TimesNewRoman" w:hAnsi="TimesNewRoman"/>
          <w:b/>
          <w:color w:val="000000"/>
          <w:sz w:val="22"/>
          <w:szCs w:val="22"/>
        </w:rPr>
        <w:t xml:space="preserve">Таблица 2.4 </w:t>
      </w:r>
      <w:r>
        <w:rPr>
          <w:rFonts w:ascii="TimesNewRoman" w:hAnsi="TimesNewRoman"/>
          <w:color w:val="000000"/>
          <w:sz w:val="22"/>
          <w:szCs w:val="22"/>
        </w:rPr>
        <w:t xml:space="preserve">Категории генных онтологий для генов СГХС по </w:t>
      </w:r>
      <w:r>
        <w:rPr>
          <w:rFonts w:ascii="TimesNewRoman" w:hAnsi="TimesNewRoman"/>
          <w:color w:val="000000"/>
          <w:sz w:val="22"/>
          <w:szCs w:val="22"/>
          <w:lang w:val="en-US"/>
        </w:rPr>
        <w:t>PANTHER</w:t>
      </w:r>
      <w:r>
        <w:rPr>
          <w:rFonts w:ascii="TimesNewRoman" w:hAnsi="TimesNewRoman"/>
          <w:color w:val="000000"/>
          <w:sz w:val="22"/>
          <w:szCs w:val="22"/>
        </w:rPr>
        <w:t xml:space="preserve"> (молекулярные функции)</w:t>
      </w:r>
    </w:p>
    <w:tbl>
      <w:tblPr>
        <w:tblW w:w="9598" w:type="dxa"/>
        <w:jc w:val="left"/>
        <w:tblInd w:w="0" w:type="dxa"/>
        <w:tblLayout w:type="fixed"/>
        <w:tblCellMar>
          <w:top w:w="0" w:type="dxa"/>
          <w:left w:w="30" w:type="dxa"/>
          <w:bottom w:w="0" w:type="dxa"/>
          <w:right w:w="30" w:type="dxa"/>
        </w:tblCellMar>
        <w:tblLook w:val="0000" w:noHBand="0" w:noVBand="0" w:firstColumn="0" w:lastRow="0" w:lastColumn="0" w:firstRow="0"/>
      </w:tblPr>
      <w:tblGrid>
        <w:gridCol w:w="7038"/>
        <w:gridCol w:w="1276"/>
        <w:gridCol w:w="1284"/>
      </w:tblGrid>
      <w:tr>
        <w:trPr>
          <w:trHeight w:val="323" w:hRule="atLeast"/>
        </w:trPr>
        <w:tc>
          <w:tcPr>
            <w:tcW w:w="7038" w:type="dxa"/>
            <w:tcBorders/>
            <w:vAlign w:val="bottom"/>
          </w:tcPr>
          <w:p>
            <w:pPr>
              <w:pStyle w:val="Normal"/>
              <w:widowControl w:val="false"/>
              <w:jc w:val="both"/>
              <w:rPr>
                <w:rFonts w:ascii="TimesNewRoman" w:hAnsi="TimesNewRoman"/>
                <w:color w:val="000000"/>
                <w:sz w:val="22"/>
                <w:szCs w:val="22"/>
              </w:rPr>
            </w:pPr>
            <w:r>
              <w:rPr>
                <w:rFonts w:ascii="TimesNewRoman" w:hAnsi="TimesNewRoman"/>
                <w:color w:val="000000"/>
                <w:sz w:val="22"/>
                <w:szCs w:val="22"/>
              </w:rPr>
              <w:t>Категории генных онтологий для молекулярных функций</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Количество генов</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P - Значение</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lipoprotein particle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89</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1.36E-12</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protein homodimerization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125</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1.55E-12</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anion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304</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1.56E-12</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hormone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46</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1.15E-11</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transcription factor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112</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1.44E-11</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RNA polymerase II-specific DNA-binding transcription factor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1.61E-11</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nuclear receptor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1.39E-10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ligand-activated transcription factor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1.39E-10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kinase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128</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1.41E-10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oxidoreductase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124</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3.31E-10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cation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470</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3.54E-10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protein-lipid complex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23</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5.98E-10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DNA-binding transcription factor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23</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5.98E-10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olfactory receptor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6.86E-10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transition metal ion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164</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7.31E-10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protein kinase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115</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2.02E-09</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G protein-coupled receptor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67</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3.32E-09</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heme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44</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3.86E-09</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tetrapyrrole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45</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7.93E-09</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O-acyltransferase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1.68E-08</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steroid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36</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2.54E-08</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glycosaminoglycan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56</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2.69E-08</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protease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41</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4.58E-08</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organic acid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1.04E-07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heparin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45</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1.57E-07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organic cyclic compound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594</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1.75E-07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sulfur compound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58</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3.81E-07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peptide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65</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4.08E-07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carboxylic acid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45</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4.13E-07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nucleotide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256</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4.72E-07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cytokine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53</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4.77E-07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nucleoside phosphate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256</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4.77E-07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metal ion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443</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5.78E-07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acyltransferase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56</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7.07E-07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hydrolase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273</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7.87E-07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oxidoreductase activity, acting on paired donors, with incorporation or reduction of molecular oxygen, NAD(P)H as one donor, and incorporation of one atom of oxygen</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22</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1.52E-06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amide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2.08E-06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hormone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2.21E-06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oxidoreductase activity, acting on paired donors, with incorporation or reduction of molecular oxygen</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43</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2.56E-06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acyltransferase activity, transferring groups other than amino-acyl groups</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50</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3.09E-06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monocarboxylic acid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3.66E-06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apolipoprotein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5.92E-06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antioxidant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29</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7.98E-06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integrin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38</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9.71E-06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amyloid-beta binding</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28</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9.76E-06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lipid transporter activity</w:t>
            </w:r>
          </w:p>
        </w:tc>
        <w:tc>
          <w:tcPr>
            <w:tcW w:w="1276"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w:t>
            </w:r>
          </w:p>
        </w:tc>
        <w:tc>
          <w:tcPr>
            <w:tcW w:w="128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9.93E-06</w:t>
            </w:r>
          </w:p>
        </w:tc>
      </w:tr>
    </w:tbl>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t xml:space="preserve">Здесь также для краткости таблицы порог значимости был </w:t>
      </w:r>
      <w:r>
        <w:rPr>
          <w:rFonts w:ascii="TimesNewRoman" w:hAnsi="TimesNewRoman"/>
          <w:color w:val="000000"/>
          <w:sz w:val="22"/>
          <w:szCs w:val="22"/>
          <w:lang w:val="en-US"/>
        </w:rPr>
        <w:t>E</w:t>
      </w:r>
      <w:r>
        <w:rPr>
          <w:rFonts w:ascii="TimesNewRoman" w:hAnsi="TimesNewRoman"/>
          <w:color w:val="000000"/>
          <w:sz w:val="22"/>
          <w:szCs w:val="22"/>
        </w:rPr>
        <w:t>-06.</w:t>
      </w:r>
    </w:p>
    <w:p>
      <w:pPr>
        <w:pStyle w:val="Normal"/>
        <w:rPr>
          <w:rFonts w:ascii="TimesNewRoman" w:hAnsi="TimesNewRoman"/>
          <w:color w:val="000000"/>
          <w:sz w:val="22"/>
          <w:szCs w:val="22"/>
        </w:rPr>
      </w:pPr>
      <w:r>
        <w:rPr>
          <w:rFonts w:ascii="TimesNewRoman" w:hAnsi="TimesNewRoman"/>
          <w:color w:val="000000"/>
          <w:sz w:val="22"/>
          <w:szCs w:val="22"/>
        </w:rPr>
        <w:t>Из таблицы видно, что самыми значимыми являются категории связывания(макромолекул в целом: липопротеинов, ферментов, белков, циклических биомолекул), ферментативная, гормональная, цитокиновая активность, также как и в онтологиях клеточных компонентов можно наблюдать категории клеточной адгезии, что возможно обусловлено ненормально большим содержанием липидов (в основном холестерина) в крови и  в тканях.</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t xml:space="preserve">Таким образом, и </w:t>
      </w:r>
      <w:r>
        <w:rPr>
          <w:rFonts w:ascii="TimesNewRoman" w:hAnsi="TimesNewRoman"/>
          <w:color w:val="000000"/>
          <w:sz w:val="22"/>
          <w:szCs w:val="22"/>
          <w:lang w:val="en-US"/>
        </w:rPr>
        <w:t>DAVID</w:t>
      </w:r>
      <w:r>
        <w:rPr>
          <w:rFonts w:ascii="TimesNewRoman" w:hAnsi="TimesNewRoman"/>
          <w:color w:val="000000"/>
          <w:sz w:val="22"/>
          <w:szCs w:val="22"/>
        </w:rPr>
        <w:t xml:space="preserve"> и </w:t>
      </w:r>
      <w:r>
        <w:rPr>
          <w:rFonts w:ascii="TimesNewRoman" w:hAnsi="TimesNewRoman"/>
          <w:color w:val="000000"/>
          <w:sz w:val="22"/>
          <w:szCs w:val="22"/>
          <w:lang w:val="en-US"/>
        </w:rPr>
        <w:t>PANTHER</w:t>
      </w:r>
      <w:r>
        <w:rPr>
          <w:rFonts w:ascii="TimesNewRoman" w:hAnsi="TimesNewRoman"/>
          <w:color w:val="000000"/>
          <w:sz w:val="22"/>
          <w:szCs w:val="22"/>
        </w:rPr>
        <w:t xml:space="preserve"> для генов СГХС подтверждают категории генных онтологий мембран, транспорта липидов, адгезии клеток и внутриклеточных нарушений метаболизма липидов.</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t xml:space="preserve">Дополнительно, для визуализации генных онтологий был использован онлайн - инструмент </w:t>
      </w:r>
      <w:r>
        <w:rPr>
          <w:rFonts w:ascii="TimesNewRoman" w:hAnsi="TimesNewRoman"/>
          <w:color w:val="000000"/>
          <w:sz w:val="22"/>
          <w:szCs w:val="22"/>
          <w:lang w:val="en-US"/>
        </w:rPr>
        <w:t>GOST</w:t>
      </w:r>
      <w:r>
        <w:rPr>
          <w:rFonts w:ascii="TimesNewRoman" w:hAnsi="TimesNewRoman"/>
          <w:color w:val="000000"/>
          <w:sz w:val="22"/>
          <w:szCs w:val="22"/>
        </w:rPr>
        <w:t xml:space="preserve"> (http://biit.cs.ut.ee/gprofiler/gost).</w:t>
      </w:r>
    </w:p>
    <w:p>
      <w:pPr>
        <w:pStyle w:val="Normal"/>
        <w:rPr>
          <w:rFonts w:ascii="TimesNewRoman" w:hAnsi="TimesNewRoman"/>
          <w:color w:val="000000"/>
          <w:sz w:val="22"/>
          <w:szCs w:val="22"/>
        </w:rPr>
      </w:pPr>
      <w:r>
        <w:rPr>
          <w:rFonts w:ascii="TimesNewRoman" w:hAnsi="TimesNewRoman"/>
          <w:color w:val="000000"/>
          <w:sz w:val="22"/>
          <w:szCs w:val="22"/>
        </w:rPr>
        <w:t xml:space="preserve">На рисунке представлен график поточечых значений категорий генных онтологий генов СГХС, рассчитанный с помощью программы </w:t>
      </w:r>
      <w:r>
        <w:rPr>
          <w:rFonts w:ascii="TimesNewRoman" w:hAnsi="TimesNewRoman"/>
          <w:color w:val="000000"/>
          <w:sz w:val="22"/>
          <w:szCs w:val="22"/>
          <w:lang w:val="en-US"/>
        </w:rPr>
        <w:t>GOST</w:t>
      </w:r>
      <w:r>
        <w:rPr>
          <w:rFonts w:ascii="TimesNewRoman" w:hAnsi="TimesNewRoman"/>
          <w:color w:val="000000"/>
          <w:sz w:val="22"/>
          <w:szCs w:val="22"/>
        </w:rPr>
        <w:t xml:space="preserve"> (те же 1,620 генов)</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528570"/>
            <wp:effectExtent l="0" t="0" r="0" b="0"/>
            <wp:wrapSquare wrapText="largest"/>
            <wp:docPr id="1"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5" descr=""/>
                    <pic:cNvPicPr>
                      <a:picLocks noChangeAspect="1" noChangeArrowheads="1"/>
                    </pic:cNvPicPr>
                  </pic:nvPicPr>
                  <pic:blipFill>
                    <a:blip r:embed="rId2"/>
                    <a:stretch>
                      <a:fillRect/>
                    </a:stretch>
                  </pic:blipFill>
                  <pic:spPr bwMode="auto">
                    <a:xfrm>
                      <a:off x="0" y="0"/>
                      <a:ext cx="6120130" cy="2528570"/>
                    </a:xfrm>
                    <a:prstGeom prst="rect">
                      <a:avLst/>
                    </a:prstGeom>
                  </pic:spPr>
                </pic:pic>
              </a:graphicData>
            </a:graphic>
          </wp:anchor>
        </w:drawing>
      </w:r>
    </w:p>
    <w:p>
      <w:pPr>
        <w:pStyle w:val="Normal"/>
        <w:rPr>
          <w:rFonts w:cs="Lohit Devanagari"/>
          <w:b/>
          <w:b/>
          <w:bCs/>
          <w:sz w:val="26"/>
          <w:szCs w:val="26"/>
        </w:rPr>
      </w:pPr>
      <w:r>
        <w:rPr>
          <w:rFonts w:ascii="TimesNewRoman" w:hAnsi="TimesNewRoman"/>
          <w:color w:val="000000"/>
          <w:sz w:val="22"/>
          <w:szCs w:val="22"/>
        </w:rPr>
        <w:t>К самым значимым категориям для данного списка генов относится связывание сигнального рецептора, активность лиганда рецептора, связывание липидов, аномальная концентрация циркулирующего холестерина.</w:t>
      </w:r>
    </w:p>
    <w:p>
      <w:pPr>
        <w:pStyle w:val="Heading2"/>
        <w:rPr>
          <w:rFonts w:ascii="TimesNewRoman" w:hAnsi="TimesNewRoman"/>
          <w:color w:val="000000"/>
        </w:rPr>
      </w:pPr>
      <w:r>
        <w:rPr>
          <w:rFonts w:ascii="TimesNewRoman" w:hAnsi="TimesNewRoman"/>
          <w:color w:val="000000"/>
        </w:rPr>
        <w:t>3. Реконструкция генных сетей для генов семейной гиперхолестеринемией.</w:t>
      </w:r>
    </w:p>
    <w:p>
      <w:pPr>
        <w:pStyle w:val="Normal"/>
        <w:rPr>
          <w:rFonts w:ascii="TimesNewRoman" w:hAnsi="TimesNewRoman"/>
          <w:color w:val="000000"/>
          <w:sz w:val="22"/>
          <w:szCs w:val="22"/>
        </w:rPr>
      </w:pPr>
      <w:r>
        <w:rPr>
          <w:rFonts w:ascii="TimesNewRoman" w:hAnsi="TimesNewRoman"/>
          <w:color w:val="000000"/>
          <w:sz w:val="22"/>
          <w:szCs w:val="22"/>
        </w:rPr>
        <w:t xml:space="preserve">Для реконструкции генной сети взаимодействий генов СГХС использовался ресурс </w:t>
      </w:r>
      <w:r>
        <w:rPr>
          <w:rFonts w:ascii="TimesNewRoman" w:hAnsi="TimesNewRoman"/>
          <w:color w:val="000000"/>
          <w:sz w:val="22"/>
          <w:szCs w:val="22"/>
          <w:lang w:val="en-US"/>
        </w:rPr>
        <w:t>STRING</w:t>
      </w:r>
      <w:r>
        <w:rPr>
          <w:rFonts w:ascii="TimesNewRoman" w:hAnsi="TimesNewRoman"/>
          <w:color w:val="000000"/>
          <w:sz w:val="22"/>
          <w:szCs w:val="22"/>
        </w:rPr>
        <w:t>-</w:t>
      </w:r>
      <w:r>
        <w:rPr>
          <w:rFonts w:ascii="TimesNewRoman" w:hAnsi="TimesNewRoman"/>
          <w:color w:val="000000"/>
          <w:sz w:val="22"/>
          <w:szCs w:val="22"/>
          <w:lang w:val="en-US"/>
        </w:rPr>
        <w:t>DB</w:t>
      </w:r>
      <w:r>
        <w:rPr>
          <w:rFonts w:ascii="TimesNewRoman" w:hAnsi="TimesNewRoman"/>
          <w:color w:val="000000"/>
          <w:sz w:val="22"/>
          <w:szCs w:val="22"/>
        </w:rPr>
        <w:t xml:space="preserve"> (</w:t>
      </w:r>
      <w:r>
        <w:rPr>
          <w:rFonts w:ascii="TimesNewRoman" w:hAnsi="TimesNewRoman"/>
          <w:color w:val="000000"/>
          <w:sz w:val="22"/>
          <w:szCs w:val="22"/>
          <w:lang w:val="en-US"/>
        </w:rPr>
        <w:t>https</w:t>
      </w:r>
      <w:r>
        <w:rPr>
          <w:rFonts w:ascii="TimesNewRoman" w:hAnsi="TimesNewRoman"/>
          <w:color w:val="000000"/>
          <w:sz w:val="22"/>
          <w:szCs w:val="22"/>
        </w:rPr>
        <w:t>://</w:t>
      </w:r>
      <w:r>
        <w:rPr>
          <w:rFonts w:ascii="TimesNewRoman" w:hAnsi="TimesNewRoman"/>
          <w:color w:val="000000"/>
          <w:sz w:val="22"/>
          <w:szCs w:val="22"/>
          <w:lang w:val="en-US"/>
        </w:rPr>
        <w:t>string</w:t>
      </w:r>
      <w:r>
        <w:rPr>
          <w:rFonts w:ascii="TimesNewRoman" w:hAnsi="TimesNewRoman"/>
          <w:color w:val="000000"/>
          <w:sz w:val="22"/>
          <w:szCs w:val="22"/>
        </w:rPr>
        <w:t>-</w:t>
      </w:r>
      <w:r>
        <w:rPr>
          <w:rFonts w:ascii="TimesNewRoman" w:hAnsi="TimesNewRoman"/>
          <w:color w:val="000000"/>
          <w:sz w:val="22"/>
          <w:szCs w:val="22"/>
          <w:lang w:val="en-US"/>
        </w:rPr>
        <w:t>db</w:t>
      </w:r>
      <w:r>
        <w:rPr>
          <w:rFonts w:ascii="TimesNewRoman" w:hAnsi="TimesNewRoman"/>
          <w:color w:val="000000"/>
          <w:sz w:val="22"/>
          <w:szCs w:val="22"/>
        </w:rPr>
        <w:t>.</w:t>
      </w:r>
      <w:r>
        <w:rPr>
          <w:rFonts w:ascii="TimesNewRoman" w:hAnsi="TimesNewRoman"/>
          <w:color w:val="000000"/>
          <w:sz w:val="22"/>
          <w:szCs w:val="22"/>
          <w:lang w:val="en-US"/>
        </w:rPr>
        <w:t>org</w:t>
      </w:r>
      <w:r>
        <w:rPr>
          <w:rFonts w:ascii="TimesNewRoman" w:hAnsi="TimesNewRoman"/>
          <w:color w:val="000000"/>
          <w:sz w:val="22"/>
          <w:szCs w:val="22"/>
        </w:rPr>
        <w:t>/).</w:t>
      </w:r>
    </w:p>
    <w:p>
      <w:pPr>
        <w:pStyle w:val="Normal"/>
        <w:rPr>
          <w:rFonts w:ascii="TimesNewRoman" w:hAnsi="TimesNewRoman"/>
          <w:color w:val="000000"/>
          <w:sz w:val="22"/>
          <w:szCs w:val="22"/>
        </w:rPr>
      </w:pPr>
      <w:r>
        <w:rPr>
          <w:rFonts w:ascii="TimesNewRoman" w:hAnsi="TimesNewRoman"/>
          <w:color w:val="000000"/>
          <w:sz w:val="22"/>
          <w:szCs w:val="22"/>
        </w:rPr>
      </w:r>
    </w:p>
    <w:p>
      <w:pPr>
        <w:pStyle w:val="TimesNewRoman"/>
        <w:rPr>
          <w:rFonts w:ascii="TimesNewRoman" w:hAnsi="TimesNewRoman"/>
          <w:color w:val="000000"/>
          <w:sz w:val="22"/>
          <w:szCs w:val="22"/>
        </w:rPr>
      </w:pPr>
      <w:r>
        <w:rPr>
          <w:rFonts w:ascii="TimesNewRoman" w:hAnsi="TimesNewRoman"/>
          <w:color w:val="000000"/>
          <w:sz w:val="22"/>
          <w:szCs w:val="22"/>
        </w:rPr>
        <w:t xml:space="preserve">При реконструировании генной сети всех (1,620) генов, полученная сеть получилась слишком громоздкая и неподдающаяся адекватному анализу, из-за чего было принято решение, разбить сеть на 5 кластеров, и анализировать тот кластер, в котором окажутся наиболее значимые для нашего заболевания гены (LDLR, APOE, </w:t>
      </w:r>
      <w:r>
        <w:rPr>
          <w:rFonts w:ascii="TimesNewRoman" w:hAnsi="TimesNewRoman"/>
          <w:color w:val="000000"/>
          <w:sz w:val="22"/>
          <w:szCs w:val="22"/>
          <w:highlight w:val="white"/>
        </w:rPr>
        <w:t>PCSK, APOE, APOH), а так же в котором будут представлены наиболее подходящие генные онтологии.</w:t>
      </w:r>
    </w:p>
    <w:p>
      <w:pPr>
        <w:pStyle w:val="Normal"/>
        <w:rPr>
          <w:rFonts w:ascii="TimesNewRoman" w:hAnsi="TimesNewRoman"/>
          <w:color w:val="000000"/>
          <w:sz w:val="22"/>
          <w:szCs w:val="22"/>
        </w:rPr>
      </w:pPr>
      <w:r>
        <w:rPr>
          <w:rFonts w:ascii="TimesNewRoman" w:hAnsi="TimesNewRoman"/>
          <w:color w:val="000000"/>
          <w:sz w:val="22"/>
          <w:szCs w:val="22"/>
        </w:rPr>
        <w:t xml:space="preserve">На рисунке №1 представлена генная сеть генов СГХС, реконструированная с помощью  </w:t>
      </w:r>
      <w:r>
        <w:rPr>
          <w:rFonts w:ascii="TimesNewRoman" w:hAnsi="TimesNewRoman"/>
          <w:color w:val="000000"/>
          <w:sz w:val="22"/>
          <w:szCs w:val="22"/>
          <w:lang w:val="en-US"/>
        </w:rPr>
        <w:t>STRING</w:t>
      </w:r>
      <w:r>
        <w:rPr>
          <w:rFonts w:ascii="TimesNewRoman" w:hAnsi="TimesNewRoman"/>
          <w:color w:val="000000"/>
          <w:sz w:val="22"/>
          <w:szCs w:val="22"/>
        </w:rPr>
        <w:t>-</w:t>
      </w:r>
      <w:r>
        <w:rPr>
          <w:rFonts w:ascii="TimesNewRoman" w:hAnsi="TimesNewRoman"/>
          <w:color w:val="000000"/>
          <w:sz w:val="22"/>
          <w:szCs w:val="22"/>
          <w:lang w:val="en-US"/>
        </w:rPr>
        <w:t>DB</w:t>
      </w:r>
      <w:r>
        <w:rPr>
          <w:rFonts w:ascii="TimesNewRoman" w:hAnsi="TimesNewRoman"/>
          <w:color w:val="000000"/>
          <w:sz w:val="22"/>
          <w:szCs w:val="22"/>
        </w:rPr>
        <w:t>.</w:t>
      </w:r>
    </w:p>
    <w:p>
      <w:pPr>
        <w:pStyle w:val="Normal"/>
        <w:rPr>
          <w:rFonts w:ascii="TimesNewRoman" w:hAnsi="TimesNewRoman"/>
          <w:color w:val="000000"/>
          <w:sz w:val="22"/>
          <w:szCs w:val="22"/>
        </w:rPr>
      </w:pPr>
      <w:r>
        <w:rPr>
          <w:rFonts w:ascii="TimesNewRoman" w:hAnsi="TimesNewRoman"/>
          <w:color w:val="000000"/>
          <w:sz w:val="22"/>
          <w:szCs w:val="22"/>
        </w:rPr>
        <w:t xml:space="preserve">Сеть достаточно связная межу собой, хотя связи выставлялись только по параметрам белок-белковые взаимодействия и ко-экспрессия. </w:t>
      </w:r>
    </w:p>
    <w:p>
      <w:pPr>
        <w:pStyle w:val="Normal"/>
        <w:rPr>
          <w:rFonts w:ascii="TimesNewRoman" w:hAnsi="TimesNewRoman"/>
          <w:color w:val="000000"/>
          <w:sz w:val="22"/>
          <w:szCs w:val="22"/>
        </w:rPr>
      </w:pPr>
      <w:r>
        <w:rPr>
          <w:rFonts w:ascii="TimesNewRoman" w:hAnsi="TimesNewRoman"/>
          <w:color w:val="000000"/>
          <w:sz w:val="22"/>
          <w:szCs w:val="22"/>
        </w:rPr>
        <w:t xml:space="preserve">На рисунке можно видеть что одними из центральных генов являются гены </w:t>
      </w:r>
      <w:r>
        <w:rPr>
          <w:rFonts w:eastAsia="DejaVu Sans" w:cs="Noto Sans" w:ascii="TimesNewRoman" w:hAnsi="TimesNewRoman"/>
          <w:color w:val="000000"/>
          <w:sz w:val="22"/>
          <w:szCs w:val="22"/>
        </w:rPr>
        <w:t>LDLR</w:t>
      </w:r>
      <w:r>
        <w:rPr>
          <w:rFonts w:ascii="TimesNewRoman" w:hAnsi="TimesNewRoman"/>
          <w:color w:val="000000"/>
          <w:sz w:val="22"/>
          <w:szCs w:val="22"/>
        </w:rPr>
        <w:t>, APOB, кодирующие рецептор липопротеинов низкой плотности и аполипопротеин В (на изображении оттянуты в стороны для наглядности), нарушение в  последовательности которых наиболее часто приводит к СГХС.</w:t>
      </w:r>
    </w:p>
    <w:p>
      <w:pPr>
        <w:pStyle w:val="Normal"/>
        <w:rPr>
          <w:rFonts w:ascii="TimesNewRoman" w:hAnsi="TimesNewRoman"/>
          <w:color w:val="000000"/>
          <w:sz w:val="22"/>
          <w:szCs w:val="22"/>
        </w:rPr>
      </w:pPr>
      <w:r>
        <w:rPr>
          <w:rFonts w:ascii="TimesNewRoman" w:hAnsi="TimesNewRoman"/>
          <w:color w:val="000000"/>
          <w:sz w:val="22"/>
          <w:szCs w:val="22"/>
        </w:rPr>
      </w:r>
    </w:p>
    <w:p>
      <w:pPr>
        <w:pStyle w:val="Heading2"/>
        <w:jc w:val="right"/>
        <w:rPr/>
      </w:pPr>
      <w:r>
        <w:rPr>
          <w:rFonts w:ascii="TimesNewRoman" w:hAnsi="TimesNewRoman"/>
          <w:b w:val="false"/>
          <w:color w:val="000000"/>
          <w:sz w:val="18"/>
          <w:szCs w:val="18"/>
        </w:rPr>
        <w:t>Рис. № 3.</w:t>
      </w:r>
      <w:r>
        <w:drawing>
          <wp:anchor behindDoc="0" distT="0" distB="0" distL="0" distR="0" simplePos="0" locked="0" layoutInCell="0" allowOverlap="1" relativeHeight="6">
            <wp:simplePos x="0" y="0"/>
            <wp:positionH relativeFrom="column">
              <wp:posOffset>1710690</wp:posOffset>
            </wp:positionH>
            <wp:positionV relativeFrom="paragraph">
              <wp:posOffset>57785</wp:posOffset>
            </wp:positionV>
            <wp:extent cx="4612640" cy="4737100"/>
            <wp:effectExtent l="0" t="0" r="0" b="0"/>
            <wp:wrapTopAndBottom/>
            <wp:docPr id="2"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6" descr=""/>
                    <pic:cNvPicPr>
                      <a:picLocks noChangeAspect="1" noChangeArrowheads="1"/>
                    </pic:cNvPicPr>
                  </pic:nvPicPr>
                  <pic:blipFill>
                    <a:blip r:embed="rId3"/>
                    <a:stretch>
                      <a:fillRect/>
                    </a:stretch>
                  </pic:blipFill>
                  <pic:spPr bwMode="auto">
                    <a:xfrm>
                      <a:off x="0" y="0"/>
                      <a:ext cx="4612640" cy="4737100"/>
                    </a:xfrm>
                    <a:prstGeom prst="rect">
                      <a:avLst/>
                    </a:prstGeom>
                  </pic:spPr>
                </pic:pic>
              </a:graphicData>
            </a:graphic>
          </wp:anchor>
        </w:drawing>
      </w:r>
      <w:r>
        <w:rPr>
          <w:rFonts w:ascii="TimesNewRoman" w:hAnsi="TimesNewRoman"/>
          <w:b w:val="false"/>
          <w:color w:val="000000"/>
          <w:sz w:val="18"/>
          <w:szCs w:val="18"/>
        </w:rPr>
        <w:t>1</w:t>
      </w:r>
      <w:r>
        <w:rPr>
          <w:rFonts w:ascii="TimesNewRoman" w:hAnsi="TimesNewRoman"/>
          <w:b w:val="false"/>
          <w:color w:val="000000"/>
          <w:sz w:val="18"/>
          <w:szCs w:val="18"/>
        </w:rPr>
        <w:t>. Генная сеть для генов СГХС.</w:t>
      </w:r>
    </w:p>
    <w:p>
      <w:pPr>
        <w:pStyle w:val="Normal"/>
        <w:rPr>
          <w:rFonts w:ascii="TimesNewRoman" w:hAnsi="TimesNewRoman"/>
          <w:color w:val="000000"/>
          <w:sz w:val="22"/>
          <w:szCs w:val="22"/>
        </w:rPr>
      </w:pPr>
      <w:r>
        <w:rPr>
          <w:rFonts w:ascii="TimesNewRoman" w:hAnsi="TimesNewRoman"/>
          <w:color w:val="000000"/>
          <w:sz w:val="22"/>
          <w:szCs w:val="22"/>
        </w:rPr>
        <w:drawing>
          <wp:anchor behindDoc="0" distT="0" distB="0" distL="0" distR="0" simplePos="0" locked="0" layoutInCell="0" allowOverlap="1" relativeHeight="5">
            <wp:simplePos x="0" y="0"/>
            <wp:positionH relativeFrom="column">
              <wp:posOffset>1887855</wp:posOffset>
            </wp:positionH>
            <wp:positionV relativeFrom="paragraph">
              <wp:posOffset>321310</wp:posOffset>
            </wp:positionV>
            <wp:extent cx="4091305" cy="3147060"/>
            <wp:effectExtent l="0" t="0" r="0" b="0"/>
            <wp:wrapTopAndBottom/>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tretch>
                      <a:fillRect/>
                    </a:stretch>
                  </pic:blipFill>
                  <pic:spPr bwMode="auto">
                    <a:xfrm>
                      <a:off x="0" y="0"/>
                      <a:ext cx="4091305" cy="3147060"/>
                    </a:xfrm>
                    <a:prstGeom prst="rect">
                      <a:avLst/>
                    </a:prstGeom>
                  </pic:spPr>
                </pic:pic>
              </a:graphicData>
            </a:graphic>
          </wp:anchor>
        </w:drawing>
      </w:r>
    </w:p>
    <w:p>
      <w:pPr>
        <w:pStyle w:val="Normal"/>
        <w:rPr/>
      </w:pPr>
      <w:r>
        <w:rPr/>
        <mc:AlternateContent>
          <mc:Choice Requires="wps">
            <w:drawing>
              <wp:anchor behindDoc="0" distT="0" distB="0" distL="0" distR="0" simplePos="0" locked="0" layoutInCell="0" allowOverlap="1" relativeHeight="7">
                <wp:simplePos x="0" y="0"/>
                <wp:positionH relativeFrom="column">
                  <wp:posOffset>-12065</wp:posOffset>
                </wp:positionH>
                <wp:positionV relativeFrom="paragraph">
                  <wp:posOffset>176530</wp:posOffset>
                </wp:positionV>
                <wp:extent cx="1755775" cy="1751965"/>
                <wp:effectExtent l="0" t="0" r="0" b="0"/>
                <wp:wrapNone/>
                <wp:docPr id="4" name="Фигура1"/>
                <a:graphic xmlns:a="http://schemas.openxmlformats.org/drawingml/2006/main">
                  <a:graphicData uri="http://schemas.microsoft.com/office/word/2010/wordprocessingShape">
                    <wps:wsp>
                      <wps:cNvSpPr/>
                      <wps:spPr>
                        <a:xfrm>
                          <a:off x="0" y="0"/>
                          <a:ext cx="1755000" cy="1751400"/>
                        </a:xfrm>
                        <a:prstGeom prst="rect">
                          <a:avLst/>
                        </a:prstGeom>
                        <a:noFill/>
                        <a:ln w="0">
                          <a:noFill/>
                        </a:ln>
                      </wps:spPr>
                      <wps:style>
                        <a:lnRef idx="0"/>
                        <a:fillRef idx="0"/>
                        <a:effectRef idx="0"/>
                        <a:fontRef idx="minor"/>
                      </wps:style>
                      <wps:txbx>
                        <w:txbxContent>
                          <w:p>
                            <w:pPr>
                              <w:pStyle w:val="FrameContents"/>
                              <w:overflowPunct w:val="false"/>
                              <w:spacing w:lineRule="auto" w:line="240"/>
                              <w:rPr/>
                            </w:pPr>
                            <w:r>
                              <w:rPr>
                                <w:rFonts w:eastAsia="Noto Serif CJK SC" w:cs="TimesNewRoman" w:ascii="TimesNewRoman" w:hAnsi="TimesNewRoman"/>
                                <w:color w:val="000000"/>
                                <w:sz w:val="24"/>
                                <w:szCs w:val="22"/>
                              </w:rPr>
                              <w:t xml:space="preserve">Также при исследовании наиболее значимых генов, относящихся к семейной гиперхолестеринемии (от ресурса «GeneCards»), я решил сконструировать генную сеть с ними. Ресурс  </w:t>
                            </w:r>
                            <w:r>
                              <w:rPr>
                                <w:rFonts w:eastAsia="Noto Serif CJK SC" w:cs="TimesNewRoman" w:ascii="TimesNewRoman" w:hAnsi="TimesNewRoman"/>
                                <w:color w:val="000000"/>
                                <w:sz w:val="24"/>
                                <w:szCs w:val="22"/>
                                <w:lang w:val="en-US"/>
                              </w:rPr>
                              <w:t>STRING</w:t>
                            </w:r>
                            <w:r>
                              <w:rPr>
                                <w:rFonts w:eastAsia="Noto Serif CJK SC" w:cs="TimesNewRoman" w:ascii="TimesNewRoman" w:hAnsi="TimesNewRoman"/>
                                <w:color w:val="000000"/>
                                <w:sz w:val="24"/>
                                <w:szCs w:val="22"/>
                              </w:rPr>
                              <w:t>-</w:t>
                            </w:r>
                            <w:r>
                              <w:rPr>
                                <w:rFonts w:eastAsia="Noto Serif CJK SC" w:cs="TimesNewRoman" w:ascii="TimesNewRoman" w:hAnsi="TimesNewRoman"/>
                                <w:color w:val="000000"/>
                                <w:sz w:val="24"/>
                                <w:szCs w:val="22"/>
                                <w:lang w:val="en-US"/>
                              </w:rPr>
                              <w:t>DB</w:t>
                            </w:r>
                            <w:r>
                              <w:rPr>
                                <w:rFonts w:eastAsia="Noto Serif CJK SC" w:cs="TimesNewRoman" w:ascii="TimesNewRoman" w:hAnsi="TimesNewRoman"/>
                                <w:color w:val="000000"/>
                                <w:sz w:val="24"/>
                                <w:szCs w:val="22"/>
                              </w:rPr>
                              <w:t xml:space="preserve"> выдал такую сеть (рисунок №2).</w:t>
                            </w:r>
                          </w:p>
                        </w:txbxContent>
                      </wps:txbx>
                      <wps:bodyPr lIns="0" rIns="0" tIns="0" bIns="0">
                        <a:spAutoFit/>
                      </wps:bodyPr>
                    </wps:wsp>
                  </a:graphicData>
                </a:graphic>
              </wp:anchor>
            </w:drawing>
          </mc:Choice>
          <mc:Fallback>
            <w:pict>
              <v:rect id="shape_0" ID="Фигура1" stroked="f" style="position:absolute;margin-left:-0.95pt;margin-top:13.9pt;width:138.15pt;height:137.85pt;mso-wrap-style:square;v-text-anchor:top">
                <v:fill o:detectmouseclick="t" on="false"/>
                <v:stroke color="#3465a4" joinstyle="round" endcap="flat"/>
                <v:textbox>
                  <w:txbxContent>
                    <w:p>
                      <w:pPr>
                        <w:pStyle w:val="FrameContents"/>
                        <w:overflowPunct w:val="false"/>
                        <w:spacing w:lineRule="auto" w:line="240"/>
                        <w:rPr/>
                      </w:pPr>
                      <w:r>
                        <w:rPr>
                          <w:rFonts w:eastAsia="Noto Serif CJK SC" w:cs="TimesNewRoman" w:ascii="TimesNewRoman" w:hAnsi="TimesNewRoman"/>
                          <w:color w:val="000000"/>
                          <w:sz w:val="24"/>
                          <w:szCs w:val="22"/>
                        </w:rPr>
                        <w:t xml:space="preserve">Также при исследовании наиболее значимых генов, относящихся к семейной гиперхолестеринемии (от ресурса «GeneCards»), я решил сконструировать генную сеть с ними. Ресурс  </w:t>
                      </w:r>
                      <w:r>
                        <w:rPr>
                          <w:rFonts w:eastAsia="Noto Serif CJK SC" w:cs="TimesNewRoman" w:ascii="TimesNewRoman" w:hAnsi="TimesNewRoman"/>
                          <w:color w:val="000000"/>
                          <w:sz w:val="24"/>
                          <w:szCs w:val="22"/>
                          <w:lang w:val="en-US"/>
                        </w:rPr>
                        <w:t>STRING</w:t>
                      </w:r>
                      <w:r>
                        <w:rPr>
                          <w:rFonts w:eastAsia="Noto Serif CJK SC" w:cs="TimesNewRoman" w:ascii="TimesNewRoman" w:hAnsi="TimesNewRoman"/>
                          <w:color w:val="000000"/>
                          <w:sz w:val="24"/>
                          <w:szCs w:val="22"/>
                        </w:rPr>
                        <w:t>-</w:t>
                      </w:r>
                      <w:r>
                        <w:rPr>
                          <w:rFonts w:eastAsia="Noto Serif CJK SC" w:cs="TimesNewRoman" w:ascii="TimesNewRoman" w:hAnsi="TimesNewRoman"/>
                          <w:color w:val="000000"/>
                          <w:sz w:val="24"/>
                          <w:szCs w:val="22"/>
                          <w:lang w:val="en-US"/>
                        </w:rPr>
                        <w:t>DB</w:t>
                      </w:r>
                      <w:r>
                        <w:rPr>
                          <w:rFonts w:eastAsia="Noto Serif CJK SC" w:cs="TimesNewRoman" w:ascii="TimesNewRoman" w:hAnsi="TimesNewRoman"/>
                          <w:color w:val="000000"/>
                          <w:sz w:val="24"/>
                          <w:szCs w:val="22"/>
                        </w:rPr>
                        <w:t xml:space="preserve"> выдал такую сеть (рисунок №2).</w:t>
                      </w:r>
                    </w:p>
                  </w:txbxContent>
                </v:textbox>
                <w10:wrap type="none"/>
              </v:rect>
            </w:pict>
          </mc:Fallback>
        </mc:AlternateContent>
      </w:r>
    </w:p>
    <w:p>
      <w:pPr>
        <w:pStyle w:val="Normal"/>
        <w:jc w:val="right"/>
        <w:rPr/>
      </w:pPr>
      <w:r>
        <w:rPr>
          <w:rFonts w:ascii="TimesNewRoman" w:hAnsi="TimesNewRoman"/>
          <w:color w:val="000000"/>
          <w:sz w:val="18"/>
          <w:szCs w:val="18"/>
        </w:rPr>
        <w:t>Рис. № 3.2. Генная сеть наиболее значимых генов СГХС.</w:t>
      </w:r>
    </w:p>
    <w:p>
      <w:pPr>
        <w:pStyle w:val="Normal"/>
        <w:rPr/>
      </w:pPr>
      <w:r>
        <w:rPr>
          <w:rFonts w:ascii="TimesNewRoman" w:hAnsi="TimesNewRoman"/>
          <w:color w:val="000000"/>
          <w:sz w:val="22"/>
          <w:szCs w:val="22"/>
        </w:rPr>
        <w:t xml:space="preserve">На изображении видно, что все гены связаны между собой, а центральным геном является ген </w:t>
      </w:r>
      <w:r>
        <w:rPr>
          <w:rFonts w:ascii="TimesNewRoman" w:hAnsi="TimesNewRoman"/>
          <w:color w:val="000000"/>
          <w:sz w:val="22"/>
          <w:szCs w:val="22"/>
          <w:lang w:val="en-US"/>
        </w:rPr>
        <w:t>LDLR</w:t>
      </w:r>
      <w:r>
        <w:rPr>
          <w:rFonts w:ascii="TimesNewRoman" w:hAnsi="TimesNewRoman"/>
          <w:color w:val="000000"/>
          <w:sz w:val="22"/>
          <w:szCs w:val="22"/>
        </w:rPr>
        <w:t xml:space="preserve">, который кодирует рецептор липопротеинов низкой плотности, мутации в котором являются наиболее </w:t>
      </w:r>
    </w:p>
    <w:p>
      <w:pPr>
        <w:pStyle w:val="Normal"/>
        <w:rPr/>
      </w:pPr>
      <w:r>
        <w:rPr>
          <w:rFonts w:ascii="TimesNewRoman" w:hAnsi="TimesNewRoman"/>
          <w:color w:val="000000"/>
          <w:sz w:val="22"/>
          <w:szCs w:val="22"/>
        </w:rPr>
        <w:t xml:space="preserve">распространенной причиной заболевания. Также на рисунке хорошо опосредован пяти-объектный кластер с главным узлом — MMP2. Так как данный ген кодирует белок, который принимает участие в воспалении и устранении атеросклеротических бляшек, </w:t>
      </w:r>
      <w:r>
        <w:rPr>
          <w:rFonts w:eastAsia="DejaVu Sans" w:cs="Noto Sans" w:ascii="TimesNewRoman" w:hAnsi="TimesNewRoman"/>
          <w:color w:val="000000"/>
          <w:sz w:val="22"/>
          <w:szCs w:val="22"/>
        </w:rPr>
        <w:t>его мутация, с относительно большей вероятностью приводит к развитию семейной гиперхолестеринемии.</w:t>
      </w:r>
    </w:p>
    <w:p>
      <w:pPr>
        <w:pStyle w:val="Heading2"/>
        <w:rPr/>
      </w:pPr>
      <w:r>
        <w:rPr>
          <w:rFonts w:ascii="TimesNewRoman" w:hAnsi="TimesNewRoman"/>
          <w:color w:val="000000"/>
        </w:rPr>
        <w:t>4. Структура белков СГХС</w:t>
      </w:r>
    </w:p>
    <w:p>
      <w:pPr>
        <w:pStyle w:val="Normal"/>
        <w:rPr/>
      </w:pPr>
      <w:r>
        <w:rPr>
          <w:rFonts w:ascii="TimesNewRoman" w:hAnsi="TimesNewRoman"/>
          <w:color w:val="000000"/>
          <w:sz w:val="22"/>
          <w:szCs w:val="22"/>
        </w:rPr>
        <w:t xml:space="preserve">Для анализа белков СГХС я выбрал белок, кодируемый наиболее значимым ген — LDLR. Данный ген, кодирует рецептор липопротеинов низкой плотности (ЛПНП). </w:t>
      </w:r>
    </w:p>
    <w:p>
      <w:pPr>
        <w:pStyle w:val="Normal"/>
        <w:rPr/>
      </w:pPr>
      <w:r>
        <w:rPr>
          <w:rFonts w:ascii="TimesNewRoman" w:hAnsi="TimesNewRoman"/>
          <w:color w:val="000000"/>
          <w:sz w:val="22"/>
          <w:szCs w:val="22"/>
        </w:rPr>
        <w:t>Идентификатор белка был взят с ресурса “</w:t>
      </w:r>
      <w:r>
        <w:rPr>
          <w:rFonts w:ascii="TimesNewRoman" w:hAnsi="TimesNewRoman"/>
          <w:color w:val="000000"/>
          <w:sz w:val="22"/>
          <w:szCs w:val="22"/>
          <w:lang w:val="en-US"/>
        </w:rPr>
        <w:t>UniProt</w:t>
      </w:r>
      <w:r>
        <w:rPr>
          <w:rFonts w:ascii="TimesNewRoman" w:hAnsi="TimesNewRoman"/>
          <w:color w:val="000000"/>
          <w:sz w:val="22"/>
          <w:szCs w:val="22"/>
        </w:rPr>
        <w:t>” (</w:t>
      </w:r>
      <w:hyperlink r:id="rId5">
        <w:r>
          <w:rPr>
            <w:rFonts w:ascii="TimesNewRoman" w:hAnsi="TimesNewRoman"/>
            <w:color w:val="000000"/>
            <w:sz w:val="22"/>
            <w:szCs w:val="22"/>
            <w:lang w:val="en-US"/>
          </w:rPr>
          <w:t>https</w:t>
        </w:r>
        <w:r>
          <w:rPr>
            <w:rFonts w:ascii="TimesNewRoman" w:hAnsi="TimesNewRoman"/>
            <w:color w:val="000000"/>
            <w:sz w:val="22"/>
            <w:szCs w:val="22"/>
          </w:rPr>
          <w:t>://</w:t>
        </w:r>
        <w:r>
          <w:rPr>
            <w:rFonts w:ascii="TimesNewRoman" w:hAnsi="TimesNewRoman"/>
            <w:color w:val="000000"/>
            <w:sz w:val="22"/>
            <w:szCs w:val="22"/>
            <w:lang w:val="en-US"/>
          </w:rPr>
          <w:t>www</w:t>
        </w:r>
        <w:r>
          <w:rPr>
            <w:rFonts w:ascii="TimesNewRoman" w:hAnsi="TimesNewRoman"/>
            <w:color w:val="000000"/>
            <w:sz w:val="22"/>
            <w:szCs w:val="22"/>
          </w:rPr>
          <w:t>.</w:t>
        </w:r>
        <w:r>
          <w:rPr>
            <w:rFonts w:ascii="TimesNewRoman" w:hAnsi="TimesNewRoman"/>
            <w:color w:val="000000"/>
            <w:sz w:val="22"/>
            <w:szCs w:val="22"/>
            <w:lang w:val="en-US"/>
          </w:rPr>
          <w:t>uniprot</w:t>
        </w:r>
        <w:r>
          <w:rPr>
            <w:rFonts w:ascii="TimesNewRoman" w:hAnsi="TimesNewRoman"/>
            <w:color w:val="000000"/>
            <w:sz w:val="22"/>
            <w:szCs w:val="22"/>
          </w:rPr>
          <w:t>.</w:t>
        </w:r>
        <w:r>
          <w:rPr>
            <w:rFonts w:ascii="TimesNewRoman" w:hAnsi="TimesNewRoman"/>
            <w:color w:val="000000"/>
            <w:sz w:val="22"/>
            <w:szCs w:val="22"/>
            <w:lang w:val="en-US"/>
          </w:rPr>
          <w:t>org</w:t>
        </w:r>
        <w:r>
          <w:rPr>
            <w:rFonts w:ascii="TimesNewRoman" w:hAnsi="TimesNewRoman"/>
            <w:color w:val="000000"/>
            <w:sz w:val="22"/>
            <w:szCs w:val="22"/>
          </w:rPr>
          <w:t>/</w:t>
        </w:r>
        <w:r>
          <w:rPr>
            <w:rFonts w:ascii="TimesNewRoman" w:hAnsi="TimesNewRoman"/>
            <w:color w:val="000000"/>
            <w:sz w:val="22"/>
            <w:szCs w:val="22"/>
            <w:lang w:val="en-US"/>
          </w:rPr>
          <w:t>uniprot</w:t>
        </w:r>
        <w:r>
          <w:rPr>
            <w:rFonts w:ascii="TimesNewRoman" w:hAnsi="TimesNewRoman"/>
            <w:color w:val="000000"/>
            <w:sz w:val="22"/>
            <w:szCs w:val="22"/>
          </w:rPr>
          <w:t>/</w:t>
        </w:r>
        <w:r>
          <w:rPr>
            <w:rFonts w:ascii="TimesNewRoman" w:hAnsi="TimesNewRoman"/>
            <w:color w:val="000000"/>
            <w:sz w:val="22"/>
            <w:szCs w:val="22"/>
            <w:lang w:val="en-US"/>
          </w:rPr>
          <w:t>P</w:t>
        </w:r>
        <w:r>
          <w:rPr>
            <w:rFonts w:ascii="TimesNewRoman" w:hAnsi="TimesNewRoman"/>
            <w:color w:val="000000"/>
            <w:sz w:val="22"/>
            <w:szCs w:val="22"/>
          </w:rPr>
          <w:t>01130</w:t>
        </w:r>
      </w:hyperlink>
      <w:hyperlink r:id="rId6">
        <w:r>
          <w:rPr>
            <w:rFonts w:ascii="TimesNewRoman" w:hAnsi="TimesNewRoman"/>
            <w:color w:val="000000"/>
            <w:sz w:val="22"/>
            <w:szCs w:val="22"/>
          </w:rPr>
          <w:t>)</w:t>
        </w:r>
      </w:hyperlink>
      <w:r>
        <w:rPr>
          <w:rFonts w:ascii="TimesNewRoman" w:hAnsi="TimesNewRoman"/>
          <w:color w:val="000000"/>
          <w:sz w:val="22"/>
          <w:szCs w:val="22"/>
        </w:rPr>
        <w:t xml:space="preserve"> -  </w:t>
      </w:r>
      <w:r>
        <w:rPr>
          <w:rFonts w:ascii="TimesNewRoman" w:hAnsi="TimesNewRoman"/>
          <w:color w:val="000000"/>
          <w:sz w:val="22"/>
          <w:szCs w:val="22"/>
          <w:lang w:val="en-US"/>
        </w:rPr>
        <w:t>P</w:t>
      </w:r>
      <w:r>
        <w:rPr>
          <w:rFonts w:ascii="TimesNewRoman" w:hAnsi="TimesNewRoman"/>
          <w:color w:val="000000"/>
          <w:sz w:val="22"/>
          <w:szCs w:val="22"/>
        </w:rPr>
        <w:t>01130 (</w:t>
      </w:r>
      <w:r>
        <w:rPr>
          <w:rStyle w:val="Style13"/>
          <w:rFonts w:ascii="TimesNewRoman" w:hAnsi="TimesNewRoman"/>
          <w:b w:val="false"/>
          <w:color w:val="000000"/>
          <w:sz w:val="22"/>
          <w:szCs w:val="22"/>
          <w:lang w:val="en-US"/>
        </w:rPr>
        <w:t>Low</w:t>
      </w:r>
      <w:r>
        <w:rPr>
          <w:rStyle w:val="Style13"/>
          <w:rFonts w:ascii="TimesNewRoman" w:hAnsi="TimesNewRoman"/>
          <w:b w:val="false"/>
          <w:color w:val="000000"/>
          <w:sz w:val="22"/>
          <w:szCs w:val="22"/>
        </w:rPr>
        <w:t>-</w:t>
      </w:r>
      <w:r>
        <w:rPr>
          <w:rStyle w:val="Style13"/>
          <w:rFonts w:ascii="TimesNewRoman" w:hAnsi="TimesNewRoman"/>
          <w:b w:val="false"/>
          <w:color w:val="000000"/>
          <w:sz w:val="22"/>
          <w:szCs w:val="22"/>
          <w:lang w:val="en-US"/>
        </w:rPr>
        <w:t>density</w:t>
      </w:r>
      <w:r>
        <w:rPr>
          <w:rStyle w:val="Style13"/>
          <w:rFonts w:ascii="TimesNewRoman" w:hAnsi="TimesNewRoman"/>
          <w:b w:val="false"/>
          <w:color w:val="000000"/>
          <w:sz w:val="22"/>
          <w:szCs w:val="22"/>
        </w:rPr>
        <w:t xml:space="preserve"> </w:t>
      </w:r>
      <w:r>
        <w:rPr>
          <w:rStyle w:val="Style13"/>
          <w:rFonts w:ascii="TimesNewRoman" w:hAnsi="TimesNewRoman"/>
          <w:b w:val="false"/>
          <w:color w:val="000000"/>
          <w:sz w:val="22"/>
          <w:szCs w:val="22"/>
          <w:lang w:val="en-US"/>
        </w:rPr>
        <w:t>lipoprotein</w:t>
      </w:r>
      <w:r>
        <w:rPr>
          <w:rStyle w:val="Style13"/>
          <w:rFonts w:ascii="TimesNewRoman" w:hAnsi="TimesNewRoman"/>
          <w:b w:val="false"/>
          <w:color w:val="000000"/>
          <w:sz w:val="22"/>
          <w:szCs w:val="22"/>
        </w:rPr>
        <w:t xml:space="preserve"> </w:t>
      </w:r>
      <w:r>
        <w:rPr>
          <w:rStyle w:val="Style13"/>
          <w:rFonts w:ascii="TimesNewRoman" w:hAnsi="TimesNewRoman"/>
          <w:b w:val="false"/>
          <w:color w:val="000000"/>
          <w:sz w:val="22"/>
          <w:szCs w:val="22"/>
          <w:lang w:val="en-US"/>
        </w:rPr>
        <w:t>receptor</w:t>
      </w:r>
      <w:r>
        <w:rPr>
          <w:rFonts w:ascii="TimesNewRoman" w:hAnsi="TimesNewRoman"/>
          <w:color w:val="000000"/>
          <w:sz w:val="22"/>
          <w:szCs w:val="22"/>
        </w:rPr>
        <w:t>).</w:t>
      </w:r>
    </w:p>
    <w:p>
      <w:pPr>
        <w:pStyle w:val="Normal"/>
        <w:rPr/>
      </w:pPr>
      <w:r>
        <w:rPr>
          <w:rFonts w:ascii="TimesNewRoman" w:hAnsi="TimesNewRoman"/>
          <w:color w:val="000000"/>
          <w:sz w:val="22"/>
          <w:szCs w:val="22"/>
        </w:rPr>
        <w:t>Функция белка: с</w:t>
      </w:r>
      <w:r>
        <w:rPr>
          <w:rStyle w:val="Style13"/>
          <w:rFonts w:ascii="TimesNewRoman" w:hAnsi="TimesNewRoman"/>
          <w:b w:val="false"/>
          <w:color w:val="000000"/>
          <w:sz w:val="22"/>
          <w:szCs w:val="22"/>
        </w:rPr>
        <w:t xml:space="preserve">вязывает ЛПНП, основной липопротеин плазмы, несущий холестерин, и транспортирует его в клетки путем эндоцитоза, </w:t>
      </w:r>
      <w:r>
        <w:rPr>
          <w:rStyle w:val="Style13"/>
          <w:rFonts w:eastAsia="DejaVu Sans" w:cs="Noto Sans" w:ascii="TimesNewRoman" w:hAnsi="TimesNewRoman"/>
          <w:b w:val="false"/>
          <w:bCs/>
          <w:color w:val="000000"/>
          <w:sz w:val="22"/>
          <w:szCs w:val="22"/>
        </w:rPr>
        <w:t xml:space="preserve">сначала </w:t>
      </w:r>
      <w:r>
        <w:rPr>
          <w:rStyle w:val="Style13"/>
          <w:rFonts w:ascii="TimesNewRoman" w:hAnsi="TimesNewRoman"/>
          <w:b w:val="false"/>
          <w:color w:val="000000"/>
          <w:sz w:val="22"/>
          <w:szCs w:val="22"/>
        </w:rPr>
        <w:t>лиганд с рецептором объединяются, а затем погружаются в клетку.</w:t>
      </w:r>
    </w:p>
    <w:p>
      <w:pPr>
        <w:pStyle w:val="Normal"/>
        <w:rPr>
          <w:rFonts w:ascii="TimesNewRoman" w:hAnsi="TimesNewRoman"/>
          <w:sz w:val="22"/>
          <w:szCs w:val="22"/>
        </w:rPr>
      </w:pPr>
      <w:r>
        <w:rPr>
          <w:rFonts w:ascii="TimesNewRoman" w:hAnsi="TimesNewRoman"/>
          <w:color w:val="000000"/>
          <w:sz w:val="22"/>
          <w:szCs w:val="22"/>
        </w:rPr>
        <w:t>Структура белка представлена в основном альфа-спиралями. Ниже представлены изображения структуры белка LDLR (взяты с интернет-ресурсов «</w:t>
      </w:r>
      <w:r>
        <w:rPr>
          <w:rFonts w:ascii="TimesNewRoman" w:hAnsi="TimesNewRoman"/>
          <w:color w:val="000000"/>
          <w:sz w:val="22"/>
          <w:szCs w:val="22"/>
          <w:lang w:val="en-US"/>
        </w:rPr>
        <w:t>PDB</w:t>
      </w:r>
      <w:r>
        <w:rPr>
          <w:rFonts w:ascii="TimesNewRoman" w:hAnsi="TimesNewRoman"/>
          <w:color w:val="000000"/>
          <w:sz w:val="22"/>
          <w:szCs w:val="22"/>
        </w:rPr>
        <w:t>” (</w:t>
      </w:r>
      <w:r>
        <w:rPr>
          <w:rFonts w:ascii="TimesNewRoman" w:hAnsi="TimesNewRoman"/>
          <w:color w:val="000000"/>
          <w:sz w:val="22"/>
          <w:szCs w:val="22"/>
          <w:lang w:val="en-US"/>
        </w:rPr>
        <w:t>Protein</w:t>
      </w:r>
      <w:r>
        <w:rPr>
          <w:rFonts w:ascii="TimesNewRoman" w:hAnsi="TimesNewRoman"/>
          <w:color w:val="000000"/>
          <w:sz w:val="22"/>
          <w:szCs w:val="22"/>
        </w:rPr>
        <w:t xml:space="preserve"> </w:t>
      </w:r>
      <w:r>
        <w:rPr>
          <w:rFonts w:ascii="TimesNewRoman" w:hAnsi="TimesNewRoman"/>
          <w:color w:val="000000"/>
          <w:sz w:val="22"/>
          <w:szCs w:val="22"/>
          <w:lang w:val="en-US"/>
        </w:rPr>
        <w:t>Data</w:t>
      </w:r>
      <w:r>
        <w:rPr>
          <w:rFonts w:ascii="TimesNewRoman" w:hAnsi="TimesNewRoman"/>
          <w:color w:val="000000"/>
          <w:sz w:val="22"/>
          <w:szCs w:val="22"/>
        </w:rPr>
        <w:t xml:space="preserve"> </w:t>
      </w:r>
      <w:r>
        <w:rPr>
          <w:rFonts w:ascii="TimesNewRoman" w:hAnsi="TimesNewRoman"/>
          <w:color w:val="000000"/>
          <w:sz w:val="22"/>
          <w:szCs w:val="22"/>
          <w:lang w:val="en-US"/>
        </w:rPr>
        <w:t>Bank</w:t>
      </w:r>
      <w:r>
        <w:rPr>
          <w:rFonts w:ascii="TimesNewRoman" w:hAnsi="TimesNewRoman"/>
          <w:color w:val="000000"/>
          <w:sz w:val="22"/>
          <w:szCs w:val="22"/>
        </w:rPr>
        <w:t>)  (</w:t>
      </w:r>
      <w:hyperlink r:id="rId7">
        <w:r>
          <w:rPr>
            <w:rFonts w:ascii="TimesNewRoman" w:hAnsi="TimesNewRoman"/>
            <w:color w:val="000000"/>
            <w:sz w:val="22"/>
            <w:szCs w:val="22"/>
            <w:lang w:val="en-US"/>
          </w:rPr>
          <w:t>https</w:t>
        </w:r>
        <w:r>
          <w:rPr>
            <w:rFonts w:ascii="TimesNewRoman" w:hAnsi="TimesNewRoman"/>
            <w:color w:val="000000"/>
            <w:sz w:val="22"/>
            <w:szCs w:val="22"/>
          </w:rPr>
          <w:t>://</w:t>
        </w:r>
        <w:r>
          <w:rPr>
            <w:rFonts w:ascii="TimesNewRoman" w:hAnsi="TimesNewRoman"/>
            <w:color w:val="000000"/>
            <w:sz w:val="22"/>
            <w:szCs w:val="22"/>
            <w:lang w:val="en-US"/>
          </w:rPr>
          <w:t>www</w:t>
        </w:r>
        <w:r>
          <w:rPr>
            <w:rFonts w:ascii="TimesNewRoman" w:hAnsi="TimesNewRoman"/>
            <w:color w:val="000000"/>
            <w:sz w:val="22"/>
            <w:szCs w:val="22"/>
          </w:rPr>
          <w:t>.</w:t>
        </w:r>
        <w:r>
          <w:rPr>
            <w:rFonts w:ascii="TimesNewRoman" w:hAnsi="TimesNewRoman"/>
            <w:color w:val="000000"/>
            <w:sz w:val="22"/>
            <w:szCs w:val="22"/>
            <w:lang w:val="en-US"/>
          </w:rPr>
          <w:t>wwpdb</w:t>
        </w:r>
        <w:r>
          <w:rPr>
            <w:rFonts w:ascii="TimesNewRoman" w:hAnsi="TimesNewRoman"/>
            <w:color w:val="000000"/>
            <w:sz w:val="22"/>
            <w:szCs w:val="22"/>
          </w:rPr>
          <w:t>.</w:t>
        </w:r>
        <w:r>
          <w:rPr>
            <w:rFonts w:ascii="TimesNewRoman" w:hAnsi="TimesNewRoman"/>
            <w:color w:val="000000"/>
            <w:sz w:val="22"/>
            <w:szCs w:val="22"/>
            <w:lang w:val="en-US"/>
          </w:rPr>
          <w:t>org</w:t>
        </w:r>
        <w:r>
          <w:rPr>
            <w:rFonts w:ascii="TimesNewRoman" w:hAnsi="TimesNewRoman"/>
            <w:color w:val="000000"/>
            <w:sz w:val="22"/>
            <w:szCs w:val="22"/>
          </w:rPr>
          <w:t>/</w:t>
        </w:r>
      </w:hyperlink>
      <w:r>
        <w:rPr>
          <w:rFonts w:ascii="TimesNewRoman" w:hAnsi="TimesNewRoman"/>
          <w:color w:val="000000"/>
          <w:sz w:val="22"/>
          <w:szCs w:val="22"/>
        </w:rPr>
        <w:t>) и «UniProt»).</w:t>
      </w:r>
    </w:p>
    <w:p>
      <w:pPr>
        <w:pStyle w:val="Normal"/>
        <w:jc w:val="right"/>
        <w:rPr>
          <w:sz w:val="14"/>
          <w:szCs w:val="14"/>
        </w:rPr>
      </w:pPr>
      <w:r>
        <w:rPr>
          <w:rFonts w:ascii="TimesNewRoman" w:hAnsi="TimesNewRoman"/>
          <w:color w:val="000000"/>
          <w:sz w:val="14"/>
          <w:szCs w:val="14"/>
        </w:rPr>
        <w:t xml:space="preserve">        </w:t>
      </w:r>
      <w:r>
        <w:rPr>
          <w:rFonts w:ascii="TimesNewRoman" w:hAnsi="TimesNewRoman"/>
          <w:color w:val="000000"/>
          <w:sz w:val="14"/>
          <w:szCs w:val="14"/>
        </w:rPr>
        <w:t>Рис. № 4.2 Структура белка LDLR («UniProt»: https://www.uniprot.org/uniprot/P01130)</w:t>
      </w:r>
    </w:p>
    <w:p>
      <w:pPr>
        <w:pStyle w:val="Normal"/>
        <w:rPr>
          <w:rFonts w:ascii="TimesNewRoman" w:hAnsi="TimesNewRoman"/>
          <w:sz w:val="22"/>
          <w:szCs w:val="22"/>
        </w:rPr>
      </w:pPr>
      <w:r>
        <w:rPr>
          <w:rFonts w:ascii="TimesNewRoman" w:hAnsi="TimesNewRoman"/>
          <w:sz w:val="22"/>
          <w:szCs w:val="22"/>
        </w:rPr>
        <w:drawing>
          <wp:anchor behindDoc="0" distT="0" distB="0" distL="0" distR="0" simplePos="0" locked="0" layoutInCell="0" allowOverlap="1" relativeHeight="2">
            <wp:simplePos x="0" y="0"/>
            <wp:positionH relativeFrom="column">
              <wp:posOffset>-473710</wp:posOffset>
            </wp:positionH>
            <wp:positionV relativeFrom="paragraph">
              <wp:posOffset>66040</wp:posOffset>
            </wp:positionV>
            <wp:extent cx="3515360" cy="2992120"/>
            <wp:effectExtent l="0" t="0" r="0" b="0"/>
            <wp:wrapTopAndBottom/>
            <wp:docPr id="6"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 descr=""/>
                    <pic:cNvPicPr>
                      <a:picLocks noChangeAspect="1" noChangeArrowheads="1"/>
                    </pic:cNvPicPr>
                  </pic:nvPicPr>
                  <pic:blipFill>
                    <a:blip r:embed="rId8"/>
                    <a:stretch>
                      <a:fillRect/>
                    </a:stretch>
                  </pic:blipFill>
                  <pic:spPr bwMode="auto">
                    <a:xfrm>
                      <a:off x="0" y="0"/>
                      <a:ext cx="3515360" cy="2992120"/>
                    </a:xfrm>
                    <a:prstGeom prst="rect">
                      <a:avLst/>
                    </a:prstGeom>
                  </pic:spPr>
                </pic:pic>
              </a:graphicData>
            </a:graphic>
          </wp:anchor>
        </w:drawing>
        <w:drawing>
          <wp:anchor behindDoc="0" distT="0" distB="0" distL="0" distR="0" simplePos="0" locked="0" layoutInCell="0" allowOverlap="1" relativeHeight="3">
            <wp:simplePos x="0" y="0"/>
            <wp:positionH relativeFrom="column">
              <wp:posOffset>3512185</wp:posOffset>
            </wp:positionH>
            <wp:positionV relativeFrom="paragraph">
              <wp:posOffset>125730</wp:posOffset>
            </wp:positionV>
            <wp:extent cx="2898775" cy="2722880"/>
            <wp:effectExtent l="0" t="0" r="0" b="0"/>
            <wp:wrapTopAndBottom/>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9"/>
                    <a:stretch>
                      <a:fillRect/>
                    </a:stretch>
                  </pic:blipFill>
                  <pic:spPr bwMode="auto">
                    <a:xfrm>
                      <a:off x="0" y="0"/>
                      <a:ext cx="2898775" cy="2722880"/>
                    </a:xfrm>
                    <a:prstGeom prst="rect">
                      <a:avLst/>
                    </a:prstGeom>
                  </pic:spPr>
                </pic:pic>
              </a:graphicData>
            </a:graphic>
          </wp:anchor>
        </w:drawing>
      </w:r>
    </w:p>
    <w:p>
      <w:pPr>
        <w:pStyle w:val="Normal"/>
        <w:jc w:val="left"/>
        <w:rPr>
          <w:sz w:val="14"/>
          <w:szCs w:val="14"/>
        </w:rPr>
      </w:pPr>
      <w:r>
        <w:rPr>
          <w:rFonts w:ascii="TimesNewRoman" w:hAnsi="TimesNewRoman"/>
          <w:color w:val="000000"/>
          <w:sz w:val="14"/>
          <w:szCs w:val="14"/>
        </w:rPr>
        <w:t>Рис. № 4.1. Структура белка LDLR («PDB»</w:t>
      </w:r>
      <w:r>
        <w:rPr>
          <w:rFonts w:eastAsia="DejaVu Sans" w:cs="Noto Sans" w:ascii="TimesNewRoman" w:hAnsi="TimesNewRoman"/>
          <w:color w:val="000000"/>
          <w:sz w:val="14"/>
          <w:szCs w:val="14"/>
          <w:lang w:val="en-US"/>
        </w:rPr>
        <w:t>: https://www.ebi.ac.uk/pdbe/pdbe-kb/proteins/P01130</w:t>
      </w:r>
      <w:r>
        <w:rPr>
          <w:rFonts w:ascii="TimesNewRoman" w:hAnsi="TimesNewRoman"/>
          <w:color w:val="000000"/>
          <w:sz w:val="14"/>
          <w:szCs w:val="14"/>
        </w:rPr>
        <w:t>)</w:t>
      </w:r>
    </w:p>
    <w:p>
      <w:pPr>
        <w:pStyle w:val="Normal"/>
        <w:jc w:val="left"/>
        <w:rPr>
          <w:rFonts w:ascii="TimesNewRoman" w:hAnsi="TimesNewRoman"/>
          <w:color w:val="000000"/>
          <w:sz w:val="18"/>
          <w:szCs w:val="18"/>
        </w:rPr>
      </w:pPr>
      <w:r>
        <w:rPr>
          <w:rFonts w:ascii="TimesNewRoman" w:hAnsi="TimesNewRoman"/>
          <w:color w:val="000000"/>
          <w:sz w:val="18"/>
          <w:szCs w:val="18"/>
        </w:rPr>
      </w:r>
    </w:p>
    <w:p>
      <w:pPr>
        <w:pStyle w:val="Normal"/>
        <w:rPr>
          <w:rStyle w:val="Style13"/>
          <w:rFonts w:ascii="TimesNewRoman" w:hAnsi="TimesNewRoman"/>
          <w:b w:val="false"/>
          <w:b w:val="false"/>
          <w:color w:val="000000"/>
          <w:sz w:val="22"/>
          <w:szCs w:val="22"/>
        </w:rPr>
      </w:pPr>
      <w:r>
        <w:rPr>
          <w:rFonts w:ascii="TimesNewRoman" w:hAnsi="TimesNewRoman"/>
          <w:b w:val="false"/>
          <w:color w:val="000000"/>
          <w:sz w:val="22"/>
          <w:szCs w:val="22"/>
        </w:rPr>
      </w:r>
    </w:p>
    <w:p>
      <w:pPr>
        <w:pStyle w:val="Heading2"/>
        <w:rPr>
          <w:rFonts w:ascii="TimesNewRoman" w:hAnsi="TimesNewRoman"/>
          <w:color w:val="000000"/>
        </w:rPr>
      </w:pPr>
      <w:r>
        <w:rPr>
          <w:rFonts w:ascii="TimesNewRoman" w:hAnsi="TimesNewRoman"/>
          <w:color w:val="000000"/>
        </w:rPr>
        <w:t>5. Заключение</w:t>
      </w:r>
    </w:p>
    <w:p>
      <w:pPr>
        <w:pStyle w:val="Normal"/>
        <w:rPr/>
      </w:pPr>
      <w:r>
        <w:rPr>
          <w:rFonts w:ascii="TimesNewRoman" w:hAnsi="TimesNewRoman"/>
          <w:color w:val="000000"/>
          <w:sz w:val="22"/>
          <w:szCs w:val="22"/>
        </w:rPr>
        <w:t xml:space="preserve">В целом, семейная гиперхолестеринемия является опасным заболеванием (в случае гомозиготности носителя). </w:t>
      </w:r>
    </w:p>
    <w:p>
      <w:pPr>
        <w:pStyle w:val="Normal"/>
        <w:rPr>
          <w:rFonts w:ascii="TimesNewRoman" w:hAnsi="TimesNewRoman"/>
          <w:color w:val="000000"/>
          <w:sz w:val="22"/>
          <w:szCs w:val="22"/>
        </w:rPr>
      </w:pPr>
      <w:r>
        <w:rPr>
          <w:rFonts w:ascii="TimesNewRoman" w:hAnsi="TimesNewRoman"/>
          <w:color w:val="000000"/>
          <w:sz w:val="22"/>
          <w:szCs w:val="22"/>
        </w:rPr>
        <w:t xml:space="preserve">У людей с гомозиготной семейной гиперхолестеринемией ксантомы развиваются под кожей на локтях, коленях и ягодицах, а также в сухожилиях в </w:t>
      </w:r>
      <w:r>
        <w:rPr>
          <w:rFonts w:eastAsia="DejaVu Sans" w:cs="Noto Sans" w:ascii="TimesNewRoman" w:hAnsi="TimesNewRoman"/>
          <w:color w:val="000000"/>
          <w:sz w:val="22"/>
          <w:szCs w:val="22"/>
        </w:rPr>
        <w:t>возрасте 4-5 лет</w:t>
      </w:r>
      <w:r>
        <w:rPr>
          <w:rFonts w:ascii="TimesNewRoman" w:hAnsi="TimesNewRoman"/>
          <w:color w:val="000000"/>
          <w:sz w:val="22"/>
          <w:szCs w:val="22"/>
        </w:rPr>
        <w:t>. Сердечные приступы и смерть могут наступить до 30 лет.</w:t>
      </w:r>
    </w:p>
    <w:p>
      <w:pPr>
        <w:pStyle w:val="Normal"/>
        <w:rPr/>
      </w:pPr>
      <w:r>
        <w:rPr>
          <w:rFonts w:ascii="TimesNewRoman" w:hAnsi="TimesNewRoman"/>
          <w:color w:val="000000"/>
          <w:sz w:val="22"/>
          <w:szCs w:val="22"/>
        </w:rPr>
        <w:t>В случае гетерозиготности, данное заболевание, в большинстве случаев протекает бессимптомно до первых случаев сердечной недостаточности, которые в среднем проявляются в возрасте 40 лет.</w:t>
      </w:r>
    </w:p>
    <w:p>
      <w:pPr>
        <w:pStyle w:val="Normal"/>
        <w:rPr>
          <w:rFonts w:ascii="TimesNewRoman" w:hAnsi="TimesNewRoman"/>
          <w:color w:val="000000"/>
          <w:sz w:val="22"/>
          <w:szCs w:val="22"/>
        </w:rPr>
      </w:pPr>
      <w:r>
        <w:rPr>
          <w:rFonts w:ascii="TimesNewRoman" w:hAnsi="TimesNewRoman"/>
          <w:color w:val="000000"/>
          <w:sz w:val="22"/>
          <w:szCs w:val="22"/>
        </w:rPr>
        <w:t>На данный момент легкое течение болезни поддается лекарственному лечению. Для снижения симптомов пациентам прописывают статины, которые структурно похожи на ГМГ – КоА, из-за чего конкурентно блокируют ГМГ-КоА-редуктазу в мевалонатном пути, предотвращая синтез холестерина в организме.</w:t>
      </w:r>
    </w:p>
    <w:p>
      <w:pPr>
        <w:pStyle w:val="Normal"/>
        <w:rPr>
          <w:rFonts w:ascii="TimesNewRoman" w:hAnsi="TimesNewRoman"/>
          <w:color w:val="000000"/>
          <w:sz w:val="22"/>
          <w:szCs w:val="22"/>
        </w:rPr>
      </w:pPr>
      <w:r>
        <w:rPr>
          <w:rFonts w:ascii="TimesNewRoman" w:hAnsi="TimesNewRoman"/>
          <w:color w:val="000000"/>
          <w:sz w:val="22"/>
          <w:szCs w:val="22"/>
        </w:rPr>
        <w:t>В тяжелых случаях СГХС используют плазмаферез.</w:t>
      </w:r>
    </w:p>
    <w:p>
      <w:pPr>
        <w:pStyle w:val="Normal"/>
        <w:rPr>
          <w:rFonts w:ascii="TimesNewRoman" w:hAnsi="TimesNewRoman"/>
          <w:color w:val="000000"/>
          <w:sz w:val="22"/>
          <w:szCs w:val="22"/>
        </w:rPr>
      </w:pPr>
      <w:r>
        <w:rPr>
          <w:rFonts w:ascii="TimesNewRoman" w:hAnsi="TimesNewRoman"/>
          <w:color w:val="000000"/>
          <w:sz w:val="22"/>
          <w:szCs w:val="22"/>
        </w:rPr>
        <w:t>Но статины и плазмаферез представляют из себя симптоматическое лечение, которое не способно устранить причину СГХС.</w:t>
      </w:r>
    </w:p>
    <w:p>
      <w:pPr>
        <w:pStyle w:val="Normal"/>
        <w:rPr>
          <w:rFonts w:ascii="TimesNewRoman" w:hAnsi="TimesNewRoman"/>
          <w:color w:val="000000"/>
          <w:sz w:val="22"/>
          <w:szCs w:val="22"/>
        </w:rPr>
      </w:pPr>
      <w:r>
        <w:rPr>
          <w:rFonts w:ascii="TimesNewRoman" w:hAnsi="TimesNewRoman"/>
          <w:color w:val="000000"/>
          <w:sz w:val="22"/>
          <w:szCs w:val="22"/>
        </w:rPr>
        <w:t>Исследование структуры генной сети показывает высокую связность генов и их продуктов.</w:t>
      </w:r>
    </w:p>
    <w:p>
      <w:pPr>
        <w:pStyle w:val="Normal"/>
        <w:rPr>
          <w:rFonts w:ascii="TimesNewRoman" w:hAnsi="TimesNewRoman"/>
          <w:color w:val="000000"/>
          <w:sz w:val="22"/>
          <w:szCs w:val="22"/>
        </w:rPr>
      </w:pPr>
      <w:r>
        <w:rPr>
          <w:rFonts w:ascii="TimesNewRoman" w:hAnsi="TimesNewRoman"/>
          <w:color w:val="000000"/>
          <w:sz w:val="22"/>
          <w:szCs w:val="22"/>
        </w:rPr>
        <w:t>Анализ литературу (</w:t>
      </w:r>
      <w:r>
        <w:rPr>
          <w:rFonts w:ascii="TimesNewRoman" w:hAnsi="TimesNewRoman"/>
          <w:color w:val="000000"/>
          <w:sz w:val="22"/>
          <w:szCs w:val="22"/>
          <w:lang w:val="en-US"/>
        </w:rPr>
        <w:t>PubMed</w:t>
      </w:r>
      <w:r>
        <w:rPr>
          <w:rFonts w:ascii="TimesNewRoman" w:hAnsi="TimesNewRoman"/>
          <w:color w:val="000000"/>
          <w:sz w:val="22"/>
          <w:szCs w:val="22"/>
        </w:rPr>
        <w:t xml:space="preserve">) показал продолжающийся рост публикаций по данной теме - всего 10,727 публикаций по настоящее время. </w:t>
      </w:r>
    </w:p>
    <w:p>
      <w:pPr>
        <w:pStyle w:val="Normal"/>
        <w:rPr>
          <w:rFonts w:ascii="TimesNewRoman" w:hAnsi="TimesNewRoman"/>
          <w:color w:val="000000"/>
          <w:sz w:val="22"/>
          <w:szCs w:val="22"/>
        </w:rPr>
      </w:pPr>
      <w:r>
        <w:rPr>
          <w:rFonts w:ascii="TimesNewRoman" w:hAnsi="TimesNewRoman"/>
          <w:color w:val="000000"/>
          <w:sz w:val="22"/>
          <w:szCs w:val="22"/>
        </w:rPr>
      </w:r>
    </w:p>
    <w:p>
      <w:pPr>
        <w:pStyle w:val="Heading2"/>
        <w:rPr>
          <w:rFonts w:ascii="TimesNewRoman" w:hAnsi="TimesNewRoman"/>
          <w:color w:val="000000"/>
        </w:rPr>
      </w:pPr>
      <w:r>
        <w:rPr>
          <w:rFonts w:ascii="TimesNewRoman" w:hAnsi="TimesNewRoman"/>
          <w:color w:val="000000"/>
        </w:rPr>
        <w:t>6. Список литературы</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u w:val="single"/>
        </w:rPr>
      </w:pPr>
      <w:r>
        <w:rPr>
          <w:rFonts w:ascii="TimesNewRoman" w:hAnsi="TimesNewRoman"/>
          <w:color w:val="000000"/>
          <w:sz w:val="22"/>
          <w:szCs w:val="22"/>
          <w:u w:val="single"/>
        </w:rPr>
        <w:t>Литература по заболеванию:</w:t>
      </w:r>
    </w:p>
    <w:p>
      <w:pPr>
        <w:pStyle w:val="Normal"/>
        <w:numPr>
          <w:ilvl w:val="0"/>
          <w:numId w:val="1"/>
        </w:numPr>
        <w:rPr>
          <w:b w:val="false"/>
          <w:b w:val="false"/>
          <w:bCs w:val="false"/>
          <w:i w:val="false"/>
          <w:i w:val="false"/>
          <w:iCs w:val="false"/>
          <w:color w:val="000000"/>
          <w:u w:val="none"/>
        </w:rPr>
      </w:pPr>
      <w:r>
        <w:rPr>
          <w:rFonts w:ascii="TimesNewRoman" w:hAnsi="TimesNewRoman"/>
          <w:b w:val="false"/>
          <w:bCs w:val="false"/>
          <w:i w:val="false"/>
          <w:iCs w:val="false"/>
          <w:caps w:val="false"/>
          <w:smallCaps w:val="false"/>
          <w:color w:val="000000"/>
          <w:spacing w:val="0"/>
          <w:sz w:val="22"/>
          <w:szCs w:val="22"/>
          <w:u w:val="none"/>
        </w:rPr>
        <w:t xml:space="preserve">Малышев П.П., Мешков А.Н., Котова Л.А., Кухарчук В.В. Семейный дефект аполипопротеина В-100: молекулярная основа заболевания и клинико-биохимические особенности пациентов. </w:t>
      </w:r>
      <w:r>
        <w:rPr>
          <w:rFonts w:ascii="TimesNewRoman" w:hAnsi="TimesNewRoman"/>
          <w:b w:val="false"/>
          <w:bCs w:val="false"/>
          <w:i w:val="false"/>
          <w:iCs w:val="false"/>
          <w:color w:val="000000"/>
          <w:spacing w:val="0"/>
          <w:sz w:val="22"/>
          <w:szCs w:val="22"/>
          <w:u w:val="none"/>
        </w:rPr>
        <w:t>Кардиоваскулярная терапия и профилактика</w:t>
      </w:r>
      <w:r>
        <w:rPr>
          <w:rFonts w:ascii="TimesNewRoman" w:hAnsi="TimesNewRoman"/>
          <w:b w:val="false"/>
          <w:bCs w:val="false"/>
          <w:i w:val="false"/>
          <w:iCs w:val="false"/>
          <w:caps w:val="false"/>
          <w:smallCaps w:val="false"/>
          <w:color w:val="000000"/>
          <w:spacing w:val="0"/>
          <w:sz w:val="22"/>
          <w:szCs w:val="22"/>
          <w:u w:val="none"/>
        </w:rPr>
        <w:t>. 2007;6(6):40-45.</w:t>
      </w:r>
    </w:p>
    <w:p>
      <w:pPr>
        <w:pStyle w:val="Normal"/>
        <w:numPr>
          <w:ilvl w:val="0"/>
          <w:numId w:val="1"/>
        </w:numPr>
        <w:rPr>
          <w:u w:val="none"/>
        </w:rPr>
      </w:pPr>
      <w:r>
        <w:rPr>
          <w:rFonts w:ascii="TimesNewRoman" w:hAnsi="TimesNewRoman"/>
          <w:color w:val="000000"/>
          <w:sz w:val="22"/>
          <w:szCs w:val="22"/>
          <w:u w:val="none"/>
        </w:rPr>
        <w:t>«Биохимия» Е.С. Северин</w:t>
      </w:r>
    </w:p>
    <w:p>
      <w:pPr>
        <w:pStyle w:val="Normal"/>
        <w:numPr>
          <w:ilvl w:val="0"/>
          <w:numId w:val="1"/>
        </w:numPr>
        <w:rPr>
          <w:u w:val="none"/>
        </w:rPr>
      </w:pPr>
      <w:r>
        <w:rPr>
          <w:rFonts w:ascii="TimesNewRoman" w:hAnsi="TimesNewRoman"/>
          <w:color w:val="000000"/>
          <w:sz w:val="22"/>
          <w:szCs w:val="22"/>
          <w:u w:val="none"/>
        </w:rPr>
        <w:t>«СЕМЕЙНАЯ ГИПЕРХОЛЕСТЕРИНЕМИЯ» М.В. Ежов, И.В. Сергиенко, Т.Е. Колмакова, Н.А. Тмоян, У.В. Чубыкина, С.А. Близнюк, И.А. Алексеева</w:t>
      </w:r>
    </w:p>
    <w:p>
      <w:pPr>
        <w:pStyle w:val="Normal"/>
        <w:numPr>
          <w:ilvl w:val="0"/>
          <w:numId w:val="1"/>
        </w:numPr>
        <w:rPr>
          <w:u w:val="none"/>
        </w:rPr>
      </w:pPr>
      <w:r>
        <w:rPr>
          <w:rFonts w:ascii="TimesNewRoman" w:hAnsi="TimesNewRoman"/>
          <w:color w:val="000000"/>
          <w:sz w:val="22"/>
          <w:szCs w:val="22"/>
          <w:u w:val="none"/>
        </w:rPr>
        <w:t>«СЕМЕЙНАЯ ГИПЕРХОЛЕСТЕРИНЕМИЯ: ОБСЛЕДОВАНИЕ, ДИАГНОСТИКА И ЛЕЧЕНИЕ ВЗРОСЛЫХ И ДЕТЕЙ» Клиническое руководство группы экспертов по семейной гиперхолестеринемии Национальной липидной ассоциации США</w:t>
      </w:r>
    </w:p>
    <w:p>
      <w:pPr>
        <w:pStyle w:val="Normal"/>
        <w:numPr>
          <w:ilvl w:val="0"/>
          <w:numId w:val="1"/>
        </w:numPr>
        <w:rPr/>
      </w:pPr>
      <w:hyperlink r:id="rId10">
        <w:r>
          <w:rPr>
            <w:rFonts w:ascii="TimesNewRoman" w:hAnsi="TimesNewRoman"/>
            <w:color w:val="000000"/>
            <w:sz w:val="22"/>
            <w:szCs w:val="22"/>
            <w:u w:val="none"/>
          </w:rPr>
          <w:t>https://www.genome.gov/Genetic-Disorders/Familial-Hypercholesterolemia</w:t>
        </w:r>
      </w:hyperlink>
    </w:p>
    <w:p>
      <w:pPr>
        <w:pStyle w:val="Normal"/>
        <w:numPr>
          <w:ilvl w:val="0"/>
          <w:numId w:val="1"/>
        </w:numPr>
        <w:rPr>
          <w:u w:val="none"/>
        </w:rPr>
      </w:pPr>
      <w:r>
        <w:rPr>
          <w:rFonts w:ascii="TimesNewRoman" w:hAnsi="TimesNewRoman"/>
          <w:sz w:val="22"/>
          <w:szCs w:val="22"/>
          <w:u w:val="none"/>
          <w:lang w:val="en-US"/>
        </w:rPr>
        <w:t xml:space="preserve">Bouhairie VE, Goldberg AC. Familial hypercholesterolemia. Cardiol Clin. 2015 May;33(2):169-79. doi: 10.1016/j.ccl.2015.01.001. </w:t>
      </w:r>
      <w:r>
        <w:rPr>
          <w:rFonts w:ascii="TimesNewRoman" w:hAnsi="TimesNewRoman"/>
          <w:sz w:val="22"/>
          <w:szCs w:val="22"/>
          <w:u w:val="none"/>
        </w:rPr>
        <w:t>PMID: 25939291; PMCID: PMC4472364.</w:t>
      </w:r>
    </w:p>
    <w:p>
      <w:pPr>
        <w:pStyle w:val="Heading2"/>
        <w:rPr>
          <w:rFonts w:ascii="TimesNewRoman" w:hAnsi="TimesNewRoman"/>
          <w:b w:val="false"/>
          <w:b w:val="false"/>
          <w:bCs w:val="false"/>
          <w:color w:val="000000"/>
          <w:sz w:val="22"/>
          <w:szCs w:val="22"/>
          <w:u w:val="single"/>
        </w:rPr>
      </w:pPr>
      <w:r>
        <w:rPr>
          <w:rFonts w:ascii="TimesNewRoman" w:hAnsi="TimesNewRoman"/>
          <w:b w:val="false"/>
          <w:bCs w:val="false"/>
          <w:color w:val="000000"/>
          <w:sz w:val="22"/>
          <w:szCs w:val="22"/>
          <w:u w:val="single"/>
        </w:rPr>
        <w:t>Литература по инструментам биоинформатики:</w:t>
      </w:r>
    </w:p>
    <w:p>
      <w:pPr>
        <w:pStyle w:val="Normal"/>
        <w:rPr>
          <w:rFonts w:ascii="TimesNewRoman" w:hAnsi="TimesNewRoman"/>
          <w:color w:val="000000"/>
          <w:sz w:val="22"/>
          <w:szCs w:val="22"/>
        </w:rPr>
      </w:pPr>
      <w:r>
        <w:rPr>
          <w:rFonts w:ascii="TimesNewRoman" w:hAnsi="TimesNewRoman"/>
          <w:color w:val="000000"/>
          <w:sz w:val="22"/>
          <w:szCs w:val="22"/>
        </w:rPr>
      </w:r>
    </w:p>
    <w:p>
      <w:pPr>
        <w:pStyle w:val="Normal"/>
        <w:numPr>
          <w:ilvl w:val="0"/>
          <w:numId w:val="2"/>
        </w:numPr>
        <w:rPr>
          <w:rFonts w:ascii="TimesNewRoman" w:hAnsi="TimesNewRoman"/>
          <w:color w:val="000000"/>
          <w:sz w:val="22"/>
          <w:szCs w:val="22"/>
          <w:lang w:val="en-US"/>
        </w:rPr>
      </w:pPr>
      <w:r>
        <w:rPr>
          <w:rFonts w:ascii="TimesNewRoman" w:hAnsi="TimesNewRoman"/>
          <w:color w:val="000000"/>
          <w:sz w:val="22"/>
          <w:szCs w:val="22"/>
          <w:lang w:val="en-US"/>
        </w:rPr>
        <w:t>Huang DW, Sherman BT, Lempicki RA. Systematic and integrative analysis of large gene lists using DAVID Bioinformatics Resources. Nature Protoc. 2009;4(1):44-57.</w:t>
      </w:r>
    </w:p>
    <w:p>
      <w:pPr>
        <w:pStyle w:val="Normal"/>
        <w:numPr>
          <w:ilvl w:val="0"/>
          <w:numId w:val="2"/>
        </w:numPr>
        <w:rPr>
          <w:rFonts w:ascii="TimesNewRoman" w:hAnsi="TimesNewRoman"/>
          <w:color w:val="000000"/>
          <w:sz w:val="22"/>
          <w:szCs w:val="22"/>
          <w:lang w:val="en-US"/>
        </w:rPr>
      </w:pPr>
      <w:r>
        <w:rPr>
          <w:rFonts w:ascii="TimesNewRoman" w:hAnsi="TimesNewRoman"/>
          <w:color w:val="000000"/>
          <w:sz w:val="22"/>
          <w:szCs w:val="22"/>
          <w:lang w:val="en-US"/>
        </w:rPr>
        <w:t>Dennis G Jr, Sherman BT, Hosack DA, Yang J, Gao W, Lane HC, Lempicki RA.  DAVID: Database for Annotation, Visualization, and Integrated Discovery. Genome Biol. 2003;4(5):P3.</w:t>
      </w:r>
    </w:p>
    <w:p>
      <w:pPr>
        <w:pStyle w:val="Normal"/>
        <w:numPr>
          <w:ilvl w:val="0"/>
          <w:numId w:val="2"/>
        </w:numPr>
        <w:rPr>
          <w:rFonts w:ascii="TimesNewRoman" w:hAnsi="TimesNewRoman"/>
          <w:color w:val="000000"/>
          <w:sz w:val="22"/>
          <w:szCs w:val="22"/>
          <w:lang w:val="en-US"/>
        </w:rPr>
      </w:pPr>
      <w:r>
        <w:rPr>
          <w:rFonts w:ascii="TimesNewRoman" w:hAnsi="TimesNewRoman"/>
          <w:color w:val="000000"/>
          <w:sz w:val="22"/>
          <w:szCs w:val="22"/>
          <w:lang w:val="en-US"/>
        </w:rPr>
        <w:t>Mi H, Muruganujan A, Thomas PD. PANTHER in 2013: modeling the evolution of gene function, and other gene attributes, in the context of phylogenetic trees. Nucleic Acids Res. 2013 Jan;41(Database issue):D377-86.</w:t>
      </w:r>
    </w:p>
    <w:p>
      <w:pPr>
        <w:pStyle w:val="Normal"/>
        <w:rPr>
          <w:rFonts w:ascii="TimesNewRoman" w:hAnsi="TimesNewRoman"/>
          <w:color w:val="000000"/>
          <w:sz w:val="22"/>
          <w:szCs w:val="22"/>
          <w:lang w:val="en-US"/>
        </w:rPr>
      </w:pPr>
      <w:r>
        <w:rPr>
          <w:rFonts w:ascii="TimesNewRoman" w:hAnsi="TimesNewRoman"/>
          <w:color w:val="000000"/>
          <w:sz w:val="22"/>
          <w:szCs w:val="22"/>
          <w:lang w:val="en-US"/>
        </w:rPr>
      </w:r>
    </w:p>
    <w:p>
      <w:pPr>
        <w:pStyle w:val="Normal"/>
        <w:rPr>
          <w:rFonts w:ascii="TimesNewRoman" w:hAnsi="TimesNewRoman"/>
          <w:color w:val="000000"/>
          <w:sz w:val="22"/>
          <w:szCs w:val="22"/>
          <w:lang w:val="en-US"/>
        </w:rPr>
      </w:pPr>
      <w:r>
        <w:rPr>
          <w:rFonts w:ascii="TimesNewRoman" w:hAnsi="TimesNewRoman"/>
          <w:color w:val="000000"/>
          <w:sz w:val="22"/>
          <w:szCs w:val="22"/>
          <w:lang w:val="en-US"/>
        </w:rPr>
      </w:r>
    </w:p>
    <w:p>
      <w:pPr>
        <w:pStyle w:val="Heading2"/>
        <w:rPr>
          <w:rFonts w:ascii="TimesNewRoman" w:hAnsi="TimesNewRoman"/>
          <w:color w:val="000000"/>
          <w:sz w:val="22"/>
          <w:szCs w:val="22"/>
          <w:lang w:val="en-US"/>
        </w:rPr>
      </w:pPr>
      <w:r>
        <w:rPr>
          <w:rFonts w:ascii="TimesNewRoman" w:hAnsi="TimesNewRoman"/>
          <w:color w:val="000000"/>
          <w:sz w:val="22"/>
          <w:szCs w:val="22"/>
          <w:lang w:val="en-US"/>
        </w:rPr>
      </w:r>
    </w:p>
    <w:p>
      <w:pPr>
        <w:pStyle w:val="Heading2"/>
        <w:rPr>
          <w:rFonts w:ascii="TimesNewRoman" w:hAnsi="TimesNewRoman"/>
          <w:color w:val="000000"/>
          <w:sz w:val="22"/>
          <w:szCs w:val="22"/>
          <w:lang w:val="en-US"/>
        </w:rPr>
      </w:pPr>
      <w:r>
        <w:rPr>
          <w:rFonts w:ascii="TimesNewRoman" w:hAnsi="TimesNewRoman"/>
          <w:color w:val="000000"/>
          <w:sz w:val="22"/>
          <w:szCs w:val="22"/>
          <w:lang w:val="en-US"/>
        </w:rPr>
      </w:r>
    </w:p>
    <w:p>
      <w:pPr>
        <w:pStyle w:val="Heading2"/>
        <w:rPr>
          <w:rFonts w:ascii="TimesNewRoman" w:hAnsi="TimesNewRoman"/>
          <w:b w:val="false"/>
          <w:b w:val="false"/>
          <w:color w:val="000000"/>
          <w:sz w:val="22"/>
          <w:szCs w:val="22"/>
          <w:lang w:val="en-US"/>
        </w:rPr>
      </w:pPr>
      <w:r>
        <w:rPr/>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ohit Devanagari">
    <w:charset w:val="01"/>
    <w:family w:val="roman"/>
    <w:pitch w:val="variable"/>
  </w:font>
  <w:font w:name="Liberation Serif">
    <w:altName w:val="Times New Roman"/>
    <w:charset w:val="01"/>
    <w:family w:val="swiss"/>
    <w:pitch w:val="variable"/>
  </w:font>
  <w:font w:name="Cambria">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Noto Sans">
    <w:charset w:val="01"/>
    <w:family w:val="roman"/>
    <w:pitch w:val="variable"/>
  </w:font>
  <w:font w:name="TimesNew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ru-RU"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ru-RU" w:eastAsia="zh-CN" w:bidi="hi-IN"/>
    </w:rPr>
  </w:style>
  <w:style w:type="paragraph" w:styleId="Heading1">
    <w:name w:val="Heading 1"/>
    <w:basedOn w:val="Style18"/>
    <w:next w:val="TextBody"/>
    <w:qFormat/>
    <w:pPr>
      <w:outlineLvl w:val="0"/>
    </w:pPr>
    <w:rPr>
      <w:rFonts w:ascii="Liberation Serif" w:hAnsi="Liberation Serif" w:eastAsia="Noto Serif CJK SC"/>
      <w:b/>
      <w:bCs/>
      <w:sz w:val="48"/>
      <w:szCs w:val="48"/>
    </w:rPr>
  </w:style>
  <w:style w:type="paragraph" w:styleId="Heading2">
    <w:name w:val="Heading 2"/>
    <w:basedOn w:val="Normal"/>
    <w:next w:val="Normal"/>
    <w:qFormat/>
    <w:pPr>
      <w:keepNext w:val="true"/>
      <w:keepLines/>
      <w:spacing w:before="200" w:after="0"/>
      <w:outlineLvl w:val="1"/>
    </w:pPr>
    <w:rPr>
      <w:rFonts w:ascii="Cambria" w:hAnsi="Cambria" w:cs="Lohit Devanagari"/>
      <w:b/>
      <w:bCs/>
      <w:sz w:val="26"/>
      <w:szCs w:val="26"/>
    </w:rPr>
  </w:style>
  <w:style w:type="character" w:styleId="DefaultParagraphFont" w:default="1">
    <w:name w:val="Default Paragraph Font"/>
    <w:uiPriority w:val="1"/>
    <w:semiHidden/>
    <w:unhideWhenUsed/>
    <w:qFormat/>
    <w:rPr/>
  </w:style>
  <w:style w:type="character" w:styleId="Style12" w:customStyle="1">
    <w:name w:val="Интернет-ссылка"/>
    <w:qFormat/>
    <w:rPr>
      <w:color w:val="000080"/>
      <w:u w:val="single"/>
    </w:rPr>
  </w:style>
  <w:style w:type="character" w:styleId="Style13" w:customStyle="1">
    <w:name w:val="Выделение жирным"/>
    <w:qFormat/>
    <w:rPr>
      <w:b/>
      <w:bCs/>
    </w:rPr>
  </w:style>
  <w:style w:type="character" w:styleId="Style14" w:customStyle="1">
    <w:name w:val="Маркеры списка"/>
    <w:qFormat/>
    <w:rPr>
      <w:rFonts w:ascii="OpenSymbol" w:hAnsi="OpenSymbol" w:eastAsia="OpenSymbol" w:cs="OpenSymbol"/>
    </w:rPr>
  </w:style>
  <w:style w:type="character" w:styleId="Annotationreference">
    <w:name w:val="annotation reference"/>
    <w:basedOn w:val="DefaultParagraphFont"/>
    <w:uiPriority w:val="99"/>
    <w:semiHidden/>
    <w:unhideWhenUsed/>
    <w:qFormat/>
    <w:rsid w:val="000775f0"/>
    <w:rPr>
      <w:sz w:val="16"/>
      <w:szCs w:val="16"/>
    </w:rPr>
  </w:style>
  <w:style w:type="character" w:styleId="Style15" w:customStyle="1">
    <w:name w:val="Текст примечания Знак"/>
    <w:basedOn w:val="DefaultParagraphFont"/>
    <w:uiPriority w:val="99"/>
    <w:semiHidden/>
    <w:qFormat/>
    <w:rsid w:val="000775f0"/>
    <w:rPr>
      <w:rFonts w:ascii="Lohit Devanagari" w:hAnsi="Lohit Devanagari" w:eastAsia="DejaVu Sans" w:cs="Mangal"/>
      <w:sz w:val="20"/>
      <w:szCs w:val="18"/>
    </w:rPr>
  </w:style>
  <w:style w:type="character" w:styleId="Style16" w:customStyle="1">
    <w:name w:val="Тема примечания Знак"/>
    <w:basedOn w:val="Style15"/>
    <w:uiPriority w:val="99"/>
    <w:semiHidden/>
    <w:qFormat/>
    <w:rsid w:val="000775f0"/>
    <w:rPr>
      <w:rFonts w:ascii="Lohit Devanagari" w:hAnsi="Lohit Devanagari" w:eastAsia="DejaVu Sans" w:cs="Mangal"/>
      <w:b/>
      <w:bCs/>
      <w:sz w:val="20"/>
      <w:szCs w:val="18"/>
    </w:rPr>
  </w:style>
  <w:style w:type="character" w:styleId="Style17" w:customStyle="1">
    <w:name w:val="Текст выноски Знак"/>
    <w:basedOn w:val="DefaultParagraphFont"/>
    <w:uiPriority w:val="99"/>
    <w:semiHidden/>
    <w:qFormat/>
    <w:rsid w:val="000775f0"/>
    <w:rPr>
      <w:rFonts w:ascii="Tahoma" w:hAnsi="Tahoma" w:eastAsia="DejaVu Sans" w:cs="Mangal"/>
      <w:sz w:val="16"/>
      <w:szCs w:val="14"/>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Fira Mono for Powerline" w:cs="Fira Mono for Powerline"/>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Style18" w:customStyle="1">
    <w:name w:val="Заголовок"/>
    <w:basedOn w:val="Normal"/>
    <w:next w:val="TextBody"/>
    <w:qFormat/>
    <w:pPr>
      <w:keepNext w:val="true"/>
      <w:spacing w:before="240" w:after="120"/>
    </w:pPr>
    <w:rPr>
      <w:rFonts w:ascii="Liberation Sans" w:hAnsi="Liberation Sans" w:eastAsia="Noto Sans CJK SC" w:cs="Lohit Devanagari"/>
      <w:sz w:val="28"/>
      <w:szCs w:val="28"/>
    </w:rPr>
  </w:style>
  <w:style w:type="paragraph" w:styleId="Style19">
    <w:name w:val="Указатель"/>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rPr>
  </w:style>
  <w:style w:type="paragraph" w:styleId="Indexheading">
    <w:name w:val="index heading"/>
    <w:basedOn w:val="Normal"/>
    <w:qFormat/>
    <w:pPr>
      <w:suppressLineNumbers/>
    </w:pPr>
    <w:rPr>
      <w:rFonts w:cs="Lohit Devanagari"/>
    </w:rPr>
  </w:style>
  <w:style w:type="paragraph" w:styleId="Style20" w:customStyle="1">
    <w:name w:val="Содержимое таблицы"/>
    <w:basedOn w:val="Normal"/>
    <w:qFormat/>
    <w:pPr>
      <w:suppressLineNumbers/>
    </w:pPr>
    <w:rPr/>
  </w:style>
  <w:style w:type="paragraph" w:styleId="Style21" w:customStyle="1">
    <w:name w:val="Заголовок таблицы"/>
    <w:basedOn w:val="Style20"/>
    <w:qFormat/>
    <w:pPr>
      <w:jc w:val="center"/>
    </w:pPr>
    <w:rPr>
      <w:b/>
      <w:bCs/>
    </w:rPr>
  </w:style>
  <w:style w:type="paragraph" w:styleId="Style22" w:customStyle="1">
    <w:name w:val="Объект без заливки"/>
    <w:basedOn w:val="Normal"/>
    <w:qFormat/>
    <w:pPr/>
    <w:rPr/>
  </w:style>
  <w:style w:type="paragraph" w:styleId="Style23" w:customStyle="1">
    <w:name w:val="Объект без заливки и линий"/>
    <w:basedOn w:val="Normal"/>
    <w:qFormat/>
    <w:pPr/>
    <w:rPr/>
  </w:style>
  <w:style w:type="paragraph" w:styleId="A4" w:customStyle="1">
    <w:name w:val="A4"/>
    <w:basedOn w:val="PlainText"/>
    <w:qFormat/>
    <w:pPr/>
    <w:rPr>
      <w:rFonts w:ascii="Noto Sans" w:hAnsi="Noto Sans"/>
      <w:sz w:val="36"/>
    </w:rPr>
  </w:style>
  <w:style w:type="paragraph" w:styleId="PlainText">
    <w:name w:val="Plain Text"/>
    <w:basedOn w:val="Caption1"/>
    <w:qFormat/>
    <w:pPr/>
    <w:rPr/>
  </w:style>
  <w:style w:type="paragraph" w:styleId="4" w:customStyle="1">
    <w:name w:val="Заглавие А4"/>
    <w:basedOn w:val="A4"/>
    <w:qFormat/>
    <w:pPr/>
    <w:rPr>
      <w:sz w:val="87"/>
    </w:rPr>
  </w:style>
  <w:style w:type="paragraph" w:styleId="41" w:customStyle="1">
    <w:name w:val="Заголовок А4"/>
    <w:basedOn w:val="A4"/>
    <w:qFormat/>
    <w:pPr/>
    <w:rPr>
      <w:sz w:val="48"/>
    </w:rPr>
  </w:style>
  <w:style w:type="paragraph" w:styleId="42" w:customStyle="1">
    <w:name w:val="Текст А4"/>
    <w:basedOn w:val="A4"/>
    <w:qFormat/>
    <w:pPr/>
    <w:rPr/>
  </w:style>
  <w:style w:type="paragraph" w:styleId="A0" w:customStyle="1">
    <w:name w:val="A0"/>
    <w:basedOn w:val="PlainText"/>
    <w:qFormat/>
    <w:pPr/>
    <w:rPr>
      <w:rFonts w:ascii="Noto Sans" w:hAnsi="Noto Sans"/>
      <w:sz w:val="95"/>
    </w:rPr>
  </w:style>
  <w:style w:type="paragraph" w:styleId="0" w:customStyle="1">
    <w:name w:val="Заглавие А0"/>
    <w:basedOn w:val="A0"/>
    <w:qFormat/>
    <w:pPr/>
    <w:rPr>
      <w:sz w:val="191"/>
    </w:rPr>
  </w:style>
  <w:style w:type="paragraph" w:styleId="01" w:customStyle="1">
    <w:name w:val="Заголовок А0"/>
    <w:basedOn w:val="A0"/>
    <w:qFormat/>
    <w:pPr/>
    <w:rPr>
      <w:sz w:val="143"/>
    </w:rPr>
  </w:style>
  <w:style w:type="paragraph" w:styleId="02" w:customStyle="1">
    <w:name w:val="Текст А0"/>
    <w:basedOn w:val="A0"/>
    <w:qFormat/>
    <w:pPr/>
    <w:rPr/>
  </w:style>
  <w:style w:type="paragraph" w:styleId="Style24" w:customStyle="1">
    <w:name w:val="Графика"/>
    <w:qFormat/>
    <w:pPr>
      <w:widowControl/>
      <w:suppressAutoHyphens w:val="true"/>
      <w:bidi w:val="0"/>
      <w:spacing w:before="0" w:after="0"/>
      <w:jc w:val="left"/>
    </w:pPr>
    <w:rPr>
      <w:rFonts w:ascii="Liberation Sans" w:hAnsi="Liberation Sans" w:eastAsia="DejaVu Sans" w:cs="Noto Sans"/>
      <w:color w:val="auto"/>
      <w:kern w:val="2"/>
      <w:sz w:val="36"/>
      <w:szCs w:val="24"/>
      <w:lang w:val="ru-RU" w:eastAsia="zh-CN" w:bidi="hi-IN"/>
    </w:rPr>
  </w:style>
  <w:style w:type="paragraph" w:styleId="Style25" w:customStyle="1">
    <w:name w:val="Фигуры"/>
    <w:basedOn w:val="Style24"/>
    <w:qFormat/>
    <w:pPr/>
    <w:rPr>
      <w:b/>
      <w:sz w:val="28"/>
    </w:rPr>
  </w:style>
  <w:style w:type="paragraph" w:styleId="Style26" w:customStyle="1">
    <w:name w:val="Заливка"/>
    <w:basedOn w:val="Style25"/>
    <w:qFormat/>
    <w:pPr/>
    <w:rPr/>
  </w:style>
  <w:style w:type="paragraph" w:styleId="Style27" w:customStyle="1">
    <w:name w:val="Заливка синим"/>
    <w:basedOn w:val="Style26"/>
    <w:qFormat/>
    <w:pPr/>
    <w:rPr>
      <w:color w:val="FFFFFF"/>
    </w:rPr>
  </w:style>
  <w:style w:type="paragraph" w:styleId="Style28" w:customStyle="1">
    <w:name w:val="Заливка зелёным"/>
    <w:basedOn w:val="Style26"/>
    <w:qFormat/>
    <w:pPr/>
    <w:rPr>
      <w:color w:val="FFFFFF"/>
    </w:rPr>
  </w:style>
  <w:style w:type="paragraph" w:styleId="Style29" w:customStyle="1">
    <w:name w:val="Заливка красным"/>
    <w:basedOn w:val="Style26"/>
    <w:qFormat/>
    <w:pPr/>
    <w:rPr>
      <w:color w:val="FFFFFF"/>
    </w:rPr>
  </w:style>
  <w:style w:type="paragraph" w:styleId="Style30" w:customStyle="1">
    <w:name w:val="Заливка жёлтым"/>
    <w:basedOn w:val="Style26"/>
    <w:qFormat/>
    <w:pPr/>
    <w:rPr>
      <w:color w:val="FFFFFF"/>
    </w:rPr>
  </w:style>
  <w:style w:type="paragraph" w:styleId="Style31" w:customStyle="1">
    <w:name w:val="Контур"/>
    <w:basedOn w:val="Style25"/>
    <w:qFormat/>
    <w:pPr/>
    <w:rPr/>
  </w:style>
  <w:style w:type="paragraph" w:styleId="Style32" w:customStyle="1">
    <w:name w:val="Контур синий"/>
    <w:basedOn w:val="Style31"/>
    <w:qFormat/>
    <w:pPr/>
    <w:rPr>
      <w:color w:val="355269"/>
    </w:rPr>
  </w:style>
  <w:style w:type="paragraph" w:styleId="Style33" w:customStyle="1">
    <w:name w:val="Контур зеленый"/>
    <w:basedOn w:val="Style31"/>
    <w:qFormat/>
    <w:pPr/>
    <w:rPr>
      <w:color w:val="127622"/>
    </w:rPr>
  </w:style>
  <w:style w:type="paragraph" w:styleId="Style34" w:customStyle="1">
    <w:name w:val="Контур красный"/>
    <w:basedOn w:val="Style31"/>
    <w:qFormat/>
    <w:pPr/>
    <w:rPr>
      <w:color w:val="C9211E"/>
    </w:rPr>
  </w:style>
  <w:style w:type="paragraph" w:styleId="Style35" w:customStyle="1">
    <w:name w:val="Контур жёлтый"/>
    <w:basedOn w:val="Style31"/>
    <w:qFormat/>
    <w:pPr/>
    <w:rPr>
      <w:color w:val="B47804"/>
    </w:rPr>
  </w:style>
  <w:style w:type="paragraph" w:styleId="Style36" w:customStyle="1">
    <w:name w:val="Линии"/>
    <w:basedOn w:val="Style24"/>
    <w:qFormat/>
    <w:pPr/>
    <w:rPr/>
  </w:style>
  <w:style w:type="paragraph" w:styleId="Style37" w:customStyle="1">
    <w:name w:val="Стрелки"/>
    <w:basedOn w:val="Style36"/>
    <w:qFormat/>
    <w:pPr/>
    <w:rPr/>
  </w:style>
  <w:style w:type="paragraph" w:styleId="Style38" w:customStyle="1">
    <w:name w:val="Штриховая линия"/>
    <w:basedOn w:val="Style36"/>
    <w:qFormat/>
    <w:pPr/>
    <w:rPr/>
  </w:style>
  <w:style w:type="paragraph" w:styleId="LTGliederung1" w:customStyle="1">
    <w:name w:val="Титульный слайд~LT~Gliederung 1"/>
    <w:qFormat/>
    <w:pPr>
      <w:widowControl/>
      <w:suppressAutoHyphens w:val="true"/>
      <w:bidi w:val="0"/>
      <w:spacing w:lineRule="auto" w:line="216" w:before="283" w:after="0"/>
      <w:jc w:val="left"/>
    </w:pPr>
    <w:rPr>
      <w:rFonts w:ascii="Lohit Devanagari" w:hAnsi="Lohit Devanagari" w:eastAsia="DejaVu Sans" w:cs="Noto Sans"/>
      <w:color w:val="404040"/>
      <w:kern w:val="2"/>
      <w:sz w:val="40"/>
      <w:szCs w:val="24"/>
      <w:lang w:val="ru-RU" w:eastAsia="zh-CN" w:bidi="hi-IN"/>
    </w:rPr>
  </w:style>
  <w:style w:type="paragraph" w:styleId="LTGliederung2" w:customStyle="1">
    <w:name w:val="Титульный слайд~LT~Gliederung 2"/>
    <w:basedOn w:val="LTGliederung1"/>
    <w:qFormat/>
    <w:pPr>
      <w:spacing w:before="227" w:after="0"/>
    </w:pPr>
    <w:rPr>
      <w:sz w:val="28"/>
    </w:rPr>
  </w:style>
  <w:style w:type="paragraph" w:styleId="LTGliederung3" w:customStyle="1">
    <w:name w:val="Титульный слайд~LT~Gliederung 3"/>
    <w:basedOn w:val="LTGliederung2"/>
    <w:qFormat/>
    <w:pPr>
      <w:spacing w:before="170" w:after="0"/>
    </w:pPr>
    <w:rPr/>
  </w:style>
  <w:style w:type="paragraph" w:styleId="LTGliederung4" w:customStyle="1">
    <w:name w:val="Титульный слайд~LT~Gliederung 4"/>
    <w:basedOn w:val="LTGliederung3"/>
    <w:qFormat/>
    <w:pPr>
      <w:spacing w:before="113" w:after="0"/>
    </w:pPr>
    <w:rPr/>
  </w:style>
  <w:style w:type="paragraph" w:styleId="LTGliederung5" w:customStyle="1">
    <w:name w:val="Титульный слайд~LT~Gliederung 5"/>
    <w:basedOn w:val="LTGliederung4"/>
    <w:qFormat/>
    <w:pPr>
      <w:spacing w:before="57" w:after="0"/>
    </w:pPr>
    <w:rPr>
      <w:sz w:val="40"/>
    </w:rPr>
  </w:style>
  <w:style w:type="paragraph" w:styleId="LTGliederung6" w:customStyle="1">
    <w:name w:val="Титульный слайд~LT~Gliederung 6"/>
    <w:basedOn w:val="LTGliederung5"/>
    <w:qFormat/>
    <w:pPr/>
    <w:rPr/>
  </w:style>
  <w:style w:type="paragraph" w:styleId="LTGliederung7" w:customStyle="1">
    <w:name w:val="Титульный слайд~LT~Gliederung 7"/>
    <w:basedOn w:val="LTGliederung6"/>
    <w:qFormat/>
    <w:pPr/>
    <w:rPr/>
  </w:style>
  <w:style w:type="paragraph" w:styleId="LTGliederung8" w:customStyle="1">
    <w:name w:val="Титульный слайд~LT~Gliederung 8"/>
    <w:basedOn w:val="LTGliederung7"/>
    <w:qFormat/>
    <w:pPr/>
    <w:rPr/>
  </w:style>
  <w:style w:type="paragraph" w:styleId="LTGliederung9" w:customStyle="1">
    <w:name w:val="Титульный слайд~LT~Gliederung 9"/>
    <w:basedOn w:val="LTGliederung8"/>
    <w:qFormat/>
    <w:pPr/>
    <w:rPr/>
  </w:style>
  <w:style w:type="paragraph" w:styleId="LTTitel" w:customStyle="1">
    <w:name w:val="Титульный слайд~LT~Titel"/>
    <w:qFormat/>
    <w:pPr>
      <w:widowControl/>
      <w:suppressAutoHyphens w:val="true"/>
      <w:bidi w:val="0"/>
      <w:spacing w:lineRule="atLeast" w:line="200" w:before="0" w:after="0"/>
      <w:jc w:val="left"/>
    </w:pPr>
    <w:rPr>
      <w:rFonts w:ascii="Lohit Devanagari" w:hAnsi="Lohit Devanagari" w:eastAsia="DejaVu Sans" w:cs="Noto Sans"/>
      <w:color w:val="000000"/>
      <w:kern w:val="2"/>
      <w:sz w:val="36"/>
      <w:szCs w:val="24"/>
      <w:lang w:val="ru-RU" w:eastAsia="zh-CN" w:bidi="hi-IN"/>
    </w:rPr>
  </w:style>
  <w:style w:type="paragraph" w:styleId="LTUntertitel" w:customStyle="1">
    <w:name w:val="Титульный слайд~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ru-RU" w:eastAsia="zh-CN" w:bidi="hi-IN"/>
    </w:rPr>
  </w:style>
  <w:style w:type="paragraph" w:styleId="LTNotizen" w:customStyle="1">
    <w:name w:val="Титульный слайд~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ru-RU" w:eastAsia="zh-CN" w:bidi="hi-IN"/>
    </w:rPr>
  </w:style>
  <w:style w:type="paragraph" w:styleId="LTHintergrundobjekte" w:customStyle="1">
    <w:name w:val="Титульный слайд~LT~Hintergrundobjekte"/>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Hintergrund" w:customStyle="1">
    <w:name w:val="Титульный слайд~LT~Hintergrund"/>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ru-RU" w:eastAsia="zh-CN" w:bidi="hi-IN"/>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Style39" w:customStyle="1">
    <w:name w:val="Объекты фона"/>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Style40" w:customStyle="1">
    <w:name w:val="Фон"/>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Style41" w:customStyle="1">
    <w:name w:val="Примечания"/>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ru-RU" w:eastAsia="zh-CN" w:bidi="hi-IN"/>
    </w:rPr>
  </w:style>
  <w:style w:type="paragraph" w:styleId="1" w:customStyle="1">
    <w:name w:val="Структура 1"/>
    <w:qFormat/>
    <w:pPr>
      <w:widowControl/>
      <w:suppressAutoHyphens w:val="true"/>
      <w:bidi w:val="0"/>
      <w:spacing w:lineRule="auto" w:line="216" w:before="283" w:after="0"/>
      <w:jc w:val="left"/>
    </w:pPr>
    <w:rPr>
      <w:rFonts w:ascii="Lohit Devanagari" w:hAnsi="Lohit Devanagari" w:eastAsia="DejaVu Sans" w:cs="Noto Sans"/>
      <w:color w:val="404040"/>
      <w:kern w:val="2"/>
      <w:sz w:val="40"/>
      <w:szCs w:val="24"/>
      <w:lang w:val="ru-RU" w:eastAsia="zh-CN" w:bidi="hi-IN"/>
    </w:rPr>
  </w:style>
  <w:style w:type="paragraph" w:styleId="2" w:customStyle="1">
    <w:name w:val="Структура 2"/>
    <w:basedOn w:val="1"/>
    <w:qFormat/>
    <w:pPr>
      <w:spacing w:before="227" w:after="0"/>
    </w:pPr>
    <w:rPr>
      <w:sz w:val="28"/>
    </w:rPr>
  </w:style>
  <w:style w:type="paragraph" w:styleId="3" w:customStyle="1">
    <w:name w:val="Структура 3"/>
    <w:basedOn w:val="2"/>
    <w:qFormat/>
    <w:pPr>
      <w:spacing w:before="170" w:after="0"/>
    </w:pPr>
    <w:rPr/>
  </w:style>
  <w:style w:type="paragraph" w:styleId="43" w:customStyle="1">
    <w:name w:val="Структура 4"/>
    <w:basedOn w:val="3"/>
    <w:qFormat/>
    <w:pPr>
      <w:spacing w:before="113" w:after="0"/>
    </w:pPr>
    <w:rPr/>
  </w:style>
  <w:style w:type="paragraph" w:styleId="5" w:customStyle="1">
    <w:name w:val="Структура 5"/>
    <w:basedOn w:val="43"/>
    <w:qFormat/>
    <w:pPr>
      <w:spacing w:before="57" w:after="0"/>
    </w:pPr>
    <w:rPr>
      <w:sz w:val="40"/>
    </w:rPr>
  </w:style>
  <w:style w:type="paragraph" w:styleId="6" w:customStyle="1">
    <w:name w:val="Структура 6"/>
    <w:basedOn w:val="5"/>
    <w:qFormat/>
    <w:pPr/>
    <w:rPr/>
  </w:style>
  <w:style w:type="paragraph" w:styleId="7" w:customStyle="1">
    <w:name w:val="Структура 7"/>
    <w:basedOn w:val="6"/>
    <w:qFormat/>
    <w:pPr/>
    <w:rPr/>
  </w:style>
  <w:style w:type="paragraph" w:styleId="8" w:customStyle="1">
    <w:name w:val="Структура 8"/>
    <w:basedOn w:val="7"/>
    <w:qFormat/>
    <w:pPr/>
    <w:rPr/>
  </w:style>
  <w:style w:type="paragraph" w:styleId="9" w:customStyle="1">
    <w:name w:val="Структура 9"/>
    <w:basedOn w:val="8"/>
    <w:qFormat/>
    <w:pPr/>
    <w:rPr/>
  </w:style>
  <w:style w:type="paragraph" w:styleId="LTGliederung11" w:customStyle="1">
    <w:name w:val="Заголовок и объект~LT~Gliederung 1"/>
    <w:qFormat/>
    <w:pPr>
      <w:widowControl/>
      <w:suppressAutoHyphens w:val="true"/>
      <w:bidi w:val="0"/>
      <w:spacing w:lineRule="auto" w:line="216" w:before="283" w:after="0"/>
      <w:jc w:val="left"/>
    </w:pPr>
    <w:rPr>
      <w:rFonts w:ascii="Lohit Devanagari" w:hAnsi="Lohit Devanagari" w:eastAsia="DejaVu Sans" w:cs="Noto Sans"/>
      <w:color w:val="404040"/>
      <w:kern w:val="2"/>
      <w:sz w:val="40"/>
      <w:szCs w:val="24"/>
      <w:lang w:val="ru-RU" w:eastAsia="zh-CN" w:bidi="hi-IN"/>
    </w:rPr>
  </w:style>
  <w:style w:type="paragraph" w:styleId="LTGliederung21" w:customStyle="1">
    <w:name w:val="Заголовок и объект~LT~Gliederung 2"/>
    <w:basedOn w:val="LTGliederung11"/>
    <w:qFormat/>
    <w:pPr>
      <w:spacing w:before="227" w:after="0"/>
    </w:pPr>
    <w:rPr>
      <w:sz w:val="28"/>
    </w:rPr>
  </w:style>
  <w:style w:type="paragraph" w:styleId="LTGliederung31" w:customStyle="1">
    <w:name w:val="Заголовок и объект~LT~Gliederung 3"/>
    <w:basedOn w:val="LTGliederung21"/>
    <w:qFormat/>
    <w:pPr>
      <w:spacing w:before="170" w:after="0"/>
    </w:pPr>
    <w:rPr/>
  </w:style>
  <w:style w:type="paragraph" w:styleId="LTGliederung41" w:customStyle="1">
    <w:name w:val="Заголовок и объект~LT~Gliederung 4"/>
    <w:basedOn w:val="LTGliederung31"/>
    <w:qFormat/>
    <w:pPr>
      <w:spacing w:before="113" w:after="0"/>
    </w:pPr>
    <w:rPr/>
  </w:style>
  <w:style w:type="paragraph" w:styleId="LTGliederung51" w:customStyle="1">
    <w:name w:val="Заголовок и объект~LT~Gliederung 5"/>
    <w:basedOn w:val="LTGliederung41"/>
    <w:qFormat/>
    <w:pPr>
      <w:spacing w:before="57" w:after="0"/>
    </w:pPr>
    <w:rPr>
      <w:sz w:val="40"/>
    </w:rPr>
  </w:style>
  <w:style w:type="paragraph" w:styleId="LTGliederung61" w:customStyle="1">
    <w:name w:val="Заголовок и объект~LT~Gliederung 6"/>
    <w:basedOn w:val="LTGliederung51"/>
    <w:qFormat/>
    <w:pPr/>
    <w:rPr/>
  </w:style>
  <w:style w:type="paragraph" w:styleId="LTGliederung71" w:customStyle="1">
    <w:name w:val="Заголовок и объект~LT~Gliederung 7"/>
    <w:basedOn w:val="LTGliederung61"/>
    <w:qFormat/>
    <w:pPr/>
    <w:rPr/>
  </w:style>
  <w:style w:type="paragraph" w:styleId="LTGliederung81" w:customStyle="1">
    <w:name w:val="Заголовок и объект~LT~Gliederung 8"/>
    <w:basedOn w:val="LTGliederung71"/>
    <w:qFormat/>
    <w:pPr/>
    <w:rPr/>
  </w:style>
  <w:style w:type="paragraph" w:styleId="LTGliederung91" w:customStyle="1">
    <w:name w:val="Заголовок и объект~LT~Gliederung 9"/>
    <w:basedOn w:val="LTGliederung81"/>
    <w:qFormat/>
    <w:pPr/>
    <w:rPr/>
  </w:style>
  <w:style w:type="paragraph" w:styleId="LTTitel1" w:customStyle="1">
    <w:name w:val="Заголовок и объект~LT~Titel"/>
    <w:qFormat/>
    <w:pPr>
      <w:widowControl/>
      <w:suppressAutoHyphens w:val="true"/>
      <w:bidi w:val="0"/>
      <w:spacing w:lineRule="atLeast" w:line="200" w:before="0" w:after="0"/>
      <w:jc w:val="left"/>
    </w:pPr>
    <w:rPr>
      <w:rFonts w:ascii="Lohit Devanagari" w:hAnsi="Lohit Devanagari" w:eastAsia="DejaVu Sans" w:cs="Noto Sans"/>
      <w:color w:val="000000"/>
      <w:kern w:val="2"/>
      <w:sz w:val="36"/>
      <w:szCs w:val="24"/>
      <w:lang w:val="ru-RU" w:eastAsia="zh-CN" w:bidi="hi-IN"/>
    </w:rPr>
  </w:style>
  <w:style w:type="paragraph" w:styleId="LTUntertitel1" w:customStyle="1">
    <w:name w:val="Заголовок и объект~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ru-RU" w:eastAsia="zh-CN" w:bidi="hi-IN"/>
    </w:rPr>
  </w:style>
  <w:style w:type="paragraph" w:styleId="LTNotizen1" w:customStyle="1">
    <w:name w:val="Заголовок и объект~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ru-RU" w:eastAsia="zh-CN" w:bidi="hi-IN"/>
    </w:rPr>
  </w:style>
  <w:style w:type="paragraph" w:styleId="LTHintergrundobjekte1" w:customStyle="1">
    <w:name w:val="Заголовок и объект~LT~Hintergrundobjekte"/>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Hintergrund1" w:customStyle="1">
    <w:name w:val="Заголовок и объект~LT~Hintergrund"/>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Gliederung12" w:customStyle="1">
    <w:name w:val="Объект с подписью~LT~Gliederung 1"/>
    <w:qFormat/>
    <w:pPr>
      <w:widowControl/>
      <w:suppressAutoHyphens w:val="true"/>
      <w:bidi w:val="0"/>
      <w:spacing w:lineRule="auto" w:line="216" w:before="283" w:after="0"/>
      <w:jc w:val="left"/>
    </w:pPr>
    <w:rPr>
      <w:rFonts w:ascii="Lohit Devanagari" w:hAnsi="Lohit Devanagari" w:eastAsia="DejaVu Sans" w:cs="Noto Sans"/>
      <w:color w:val="404040"/>
      <w:kern w:val="2"/>
      <w:sz w:val="40"/>
      <w:szCs w:val="24"/>
      <w:lang w:val="ru-RU" w:eastAsia="zh-CN" w:bidi="hi-IN"/>
    </w:rPr>
  </w:style>
  <w:style w:type="paragraph" w:styleId="LTGliederung22" w:customStyle="1">
    <w:name w:val="Объект с подписью~LT~Gliederung 2"/>
    <w:basedOn w:val="LTGliederung12"/>
    <w:qFormat/>
    <w:pPr>
      <w:spacing w:before="227" w:after="0"/>
    </w:pPr>
    <w:rPr>
      <w:sz w:val="28"/>
    </w:rPr>
  </w:style>
  <w:style w:type="paragraph" w:styleId="LTGliederung32" w:customStyle="1">
    <w:name w:val="Объект с подписью~LT~Gliederung 3"/>
    <w:basedOn w:val="LTGliederung22"/>
    <w:qFormat/>
    <w:pPr>
      <w:spacing w:before="170" w:after="0"/>
    </w:pPr>
    <w:rPr/>
  </w:style>
  <w:style w:type="paragraph" w:styleId="LTGliederung42" w:customStyle="1">
    <w:name w:val="Объект с подписью~LT~Gliederung 4"/>
    <w:basedOn w:val="LTGliederung32"/>
    <w:qFormat/>
    <w:pPr>
      <w:spacing w:before="113" w:after="0"/>
    </w:pPr>
    <w:rPr/>
  </w:style>
  <w:style w:type="paragraph" w:styleId="LTGliederung52" w:customStyle="1">
    <w:name w:val="Объект с подписью~LT~Gliederung 5"/>
    <w:basedOn w:val="LTGliederung42"/>
    <w:qFormat/>
    <w:pPr>
      <w:spacing w:before="57" w:after="0"/>
    </w:pPr>
    <w:rPr>
      <w:sz w:val="40"/>
    </w:rPr>
  </w:style>
  <w:style w:type="paragraph" w:styleId="LTGliederung62" w:customStyle="1">
    <w:name w:val="Объект с подписью~LT~Gliederung 6"/>
    <w:basedOn w:val="LTGliederung52"/>
    <w:qFormat/>
    <w:pPr/>
    <w:rPr/>
  </w:style>
  <w:style w:type="paragraph" w:styleId="LTGliederung72" w:customStyle="1">
    <w:name w:val="Объект с подписью~LT~Gliederung 7"/>
    <w:basedOn w:val="LTGliederung62"/>
    <w:qFormat/>
    <w:pPr/>
    <w:rPr/>
  </w:style>
  <w:style w:type="paragraph" w:styleId="LTGliederung82" w:customStyle="1">
    <w:name w:val="Объект с подписью~LT~Gliederung 8"/>
    <w:basedOn w:val="LTGliederung72"/>
    <w:qFormat/>
    <w:pPr/>
    <w:rPr/>
  </w:style>
  <w:style w:type="paragraph" w:styleId="LTGliederung92" w:customStyle="1">
    <w:name w:val="Объект с подписью~LT~Gliederung 9"/>
    <w:basedOn w:val="LTGliederung82"/>
    <w:qFormat/>
    <w:pPr/>
    <w:rPr/>
  </w:style>
  <w:style w:type="paragraph" w:styleId="LTTitel2" w:customStyle="1">
    <w:name w:val="Объект с подписью~LT~Titel"/>
    <w:qFormat/>
    <w:pPr>
      <w:widowControl/>
      <w:suppressAutoHyphens w:val="true"/>
      <w:bidi w:val="0"/>
      <w:spacing w:lineRule="atLeast" w:line="200" w:before="0" w:after="0"/>
      <w:jc w:val="left"/>
    </w:pPr>
    <w:rPr>
      <w:rFonts w:ascii="Lohit Devanagari" w:hAnsi="Lohit Devanagari" w:eastAsia="DejaVu Sans" w:cs="Noto Sans"/>
      <w:color w:val="000000"/>
      <w:kern w:val="2"/>
      <w:sz w:val="36"/>
      <w:szCs w:val="24"/>
      <w:lang w:val="ru-RU" w:eastAsia="zh-CN" w:bidi="hi-IN"/>
    </w:rPr>
  </w:style>
  <w:style w:type="paragraph" w:styleId="LTUntertitel2" w:customStyle="1">
    <w:name w:val="Объект с подписью~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ru-RU" w:eastAsia="zh-CN" w:bidi="hi-IN"/>
    </w:rPr>
  </w:style>
  <w:style w:type="paragraph" w:styleId="LTNotizen2" w:customStyle="1">
    <w:name w:val="Объект с подписью~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ru-RU" w:eastAsia="zh-CN" w:bidi="hi-IN"/>
    </w:rPr>
  </w:style>
  <w:style w:type="paragraph" w:styleId="LTHintergrundobjekte2" w:customStyle="1">
    <w:name w:val="Объект с подписью~LT~Hintergrundobjekte"/>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Hintergrund2" w:customStyle="1">
    <w:name w:val="Объект с подписью~LT~Hintergrund"/>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Gliederung13" w:customStyle="1">
    <w:name w:val="Пустой слайд~LT~Gliederung 1"/>
    <w:qFormat/>
    <w:pPr>
      <w:widowControl/>
      <w:suppressAutoHyphens w:val="true"/>
      <w:bidi w:val="0"/>
      <w:spacing w:lineRule="auto" w:line="216" w:before="283" w:after="0"/>
      <w:jc w:val="left"/>
    </w:pPr>
    <w:rPr>
      <w:rFonts w:ascii="Lohit Devanagari" w:hAnsi="Lohit Devanagari" w:eastAsia="DejaVu Sans" w:cs="Noto Sans"/>
      <w:color w:val="404040"/>
      <w:kern w:val="2"/>
      <w:sz w:val="40"/>
      <w:szCs w:val="24"/>
      <w:lang w:val="ru-RU" w:eastAsia="zh-CN" w:bidi="hi-IN"/>
    </w:rPr>
  </w:style>
  <w:style w:type="paragraph" w:styleId="LTGliederung23" w:customStyle="1">
    <w:name w:val="Пустой слайд~LT~Gliederung 2"/>
    <w:basedOn w:val="LTGliederung13"/>
    <w:qFormat/>
    <w:pPr>
      <w:spacing w:before="227" w:after="0"/>
    </w:pPr>
    <w:rPr>
      <w:sz w:val="28"/>
    </w:rPr>
  </w:style>
  <w:style w:type="paragraph" w:styleId="LTGliederung33" w:customStyle="1">
    <w:name w:val="Пустой слайд~LT~Gliederung 3"/>
    <w:basedOn w:val="LTGliederung23"/>
    <w:qFormat/>
    <w:pPr>
      <w:spacing w:before="170" w:after="0"/>
    </w:pPr>
    <w:rPr/>
  </w:style>
  <w:style w:type="paragraph" w:styleId="LTGliederung43" w:customStyle="1">
    <w:name w:val="Пустой слайд~LT~Gliederung 4"/>
    <w:basedOn w:val="LTGliederung33"/>
    <w:qFormat/>
    <w:pPr>
      <w:spacing w:before="113" w:after="0"/>
    </w:pPr>
    <w:rPr/>
  </w:style>
  <w:style w:type="paragraph" w:styleId="LTGliederung53" w:customStyle="1">
    <w:name w:val="Пустой слайд~LT~Gliederung 5"/>
    <w:basedOn w:val="LTGliederung43"/>
    <w:qFormat/>
    <w:pPr>
      <w:spacing w:before="57" w:after="0"/>
    </w:pPr>
    <w:rPr>
      <w:sz w:val="40"/>
    </w:rPr>
  </w:style>
  <w:style w:type="paragraph" w:styleId="LTGliederung63" w:customStyle="1">
    <w:name w:val="Пустой слайд~LT~Gliederung 6"/>
    <w:basedOn w:val="LTGliederung53"/>
    <w:qFormat/>
    <w:pPr/>
    <w:rPr/>
  </w:style>
  <w:style w:type="paragraph" w:styleId="LTGliederung73" w:customStyle="1">
    <w:name w:val="Пустой слайд~LT~Gliederung 7"/>
    <w:basedOn w:val="LTGliederung63"/>
    <w:qFormat/>
    <w:pPr/>
    <w:rPr/>
  </w:style>
  <w:style w:type="paragraph" w:styleId="LTGliederung83" w:customStyle="1">
    <w:name w:val="Пустой слайд~LT~Gliederung 8"/>
    <w:basedOn w:val="LTGliederung73"/>
    <w:qFormat/>
    <w:pPr/>
    <w:rPr/>
  </w:style>
  <w:style w:type="paragraph" w:styleId="LTGliederung93" w:customStyle="1">
    <w:name w:val="Пустой слайд~LT~Gliederung 9"/>
    <w:basedOn w:val="LTGliederung83"/>
    <w:qFormat/>
    <w:pPr/>
    <w:rPr/>
  </w:style>
  <w:style w:type="paragraph" w:styleId="LTTitel3" w:customStyle="1">
    <w:name w:val="Пустой слайд~LT~Titel"/>
    <w:qFormat/>
    <w:pPr>
      <w:widowControl/>
      <w:suppressAutoHyphens w:val="true"/>
      <w:bidi w:val="0"/>
      <w:spacing w:lineRule="atLeast" w:line="200" w:before="0" w:after="0"/>
      <w:jc w:val="left"/>
    </w:pPr>
    <w:rPr>
      <w:rFonts w:ascii="Lohit Devanagari" w:hAnsi="Lohit Devanagari" w:eastAsia="DejaVu Sans" w:cs="Noto Sans"/>
      <w:color w:val="000000"/>
      <w:kern w:val="2"/>
      <w:sz w:val="36"/>
      <w:szCs w:val="24"/>
      <w:lang w:val="ru-RU" w:eastAsia="zh-CN" w:bidi="hi-IN"/>
    </w:rPr>
  </w:style>
  <w:style w:type="paragraph" w:styleId="LTUntertitel3" w:customStyle="1">
    <w:name w:val="Пустой слайд~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ru-RU" w:eastAsia="zh-CN" w:bidi="hi-IN"/>
    </w:rPr>
  </w:style>
  <w:style w:type="paragraph" w:styleId="LTNotizen3" w:customStyle="1">
    <w:name w:val="Пустой слайд~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ru-RU" w:eastAsia="zh-CN" w:bidi="hi-IN"/>
    </w:rPr>
  </w:style>
  <w:style w:type="paragraph" w:styleId="LTHintergrundobjekte3" w:customStyle="1">
    <w:name w:val="Пустой слайд~LT~Hintergrundobjekte"/>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Hintergrund3" w:customStyle="1">
    <w:name w:val="Пустой слайд~LT~Hintergrund"/>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TimesNewRoman" w:customStyle="1">
    <w:name w:val="TimesNewRoman"/>
    <w:basedOn w:val="Normal"/>
    <w:qFormat/>
    <w:pPr/>
    <w:rPr/>
  </w:style>
  <w:style w:type="paragraph" w:styleId="Annotationtext">
    <w:name w:val="annotation text"/>
    <w:basedOn w:val="Normal"/>
    <w:uiPriority w:val="99"/>
    <w:semiHidden/>
    <w:unhideWhenUsed/>
    <w:qFormat/>
    <w:rsid w:val="000775f0"/>
    <w:pPr>
      <w:spacing w:lineRule="auto" w:line="240"/>
    </w:pPr>
    <w:rPr>
      <w:rFonts w:cs="Mangal"/>
      <w:sz w:val="20"/>
      <w:szCs w:val="18"/>
    </w:rPr>
  </w:style>
  <w:style w:type="paragraph" w:styleId="Annotationsubject">
    <w:name w:val="annotation subject"/>
    <w:basedOn w:val="Annotationtext"/>
    <w:next w:val="Annotationtext"/>
    <w:uiPriority w:val="99"/>
    <w:semiHidden/>
    <w:unhideWhenUsed/>
    <w:qFormat/>
    <w:rsid w:val="000775f0"/>
    <w:pPr/>
    <w:rPr>
      <w:b/>
      <w:bCs/>
    </w:rPr>
  </w:style>
  <w:style w:type="paragraph" w:styleId="BalloonText">
    <w:name w:val="Balloon Text"/>
    <w:basedOn w:val="Normal"/>
    <w:uiPriority w:val="99"/>
    <w:semiHidden/>
    <w:unhideWhenUsed/>
    <w:qFormat/>
    <w:rsid w:val="000775f0"/>
    <w:pPr>
      <w:spacing w:lineRule="auto" w:line="240"/>
    </w:pPr>
    <w:rPr>
      <w:rFonts w:ascii="Tahoma" w:hAnsi="Tahoma" w:cs="Mangal"/>
      <w:sz w:val="16"/>
      <w:szCs w:val="14"/>
    </w:rPr>
  </w:style>
  <w:style w:type="paragraph" w:styleId="Style42">
    <w:name w:val="Верхний и нижний колонтитулы"/>
    <w:basedOn w:val="Normal"/>
    <w:qFormat/>
    <w:pPr>
      <w:suppressLineNumbers/>
      <w:tabs>
        <w:tab w:val="clear" w:pos="720"/>
        <w:tab w:val="center" w:pos="4819" w:leader="none"/>
        <w:tab w:val="right" w:pos="9638" w:leader="none"/>
      </w:tabs>
    </w:pPr>
    <w:rPr/>
  </w:style>
  <w:style w:type="paragraph" w:styleId="HeaderandFooter">
    <w:name w:val="Header and Footer"/>
    <w:basedOn w:val="Normal"/>
    <w:qFormat/>
    <w:pPr/>
    <w:rPr/>
  </w:style>
  <w:style w:type="paragraph" w:styleId="Header">
    <w:name w:val="Header"/>
    <w:basedOn w:val="Style42"/>
    <w:pPr>
      <w:suppressLineNumber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uniprot.org/uniprot/P01130" TargetMode="External"/><Relationship Id="rId6" Type="http://schemas.openxmlformats.org/officeDocument/2006/relationships/hyperlink" Target="https://www.uniprot.org/uniprot/P01130)-" TargetMode="External"/><Relationship Id="rId7" Type="http://schemas.openxmlformats.org/officeDocument/2006/relationships/hyperlink" Target="https://www.wwpdb.org/"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www.genome.gov/Genetic-Disorders/Familial-Hypercholesterolemia"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LibreOffice/7.0.4.2$Linux_X86_64 LibreOffice_project/00$Build-2</Application>
  <AppVersion>15.0000</AppVersion>
  <Pages>10</Pages>
  <Words>2677</Words>
  <Characters>18679</Characters>
  <CharactersWithSpaces>20622</CharactersWithSpaces>
  <Paragraphs>757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2021-12-05T21:35:00Z</dcterms:created>
  <dc:creator>Prof.</dc:creator>
  <dc:description/>
  <dc:language>ru-RU</dc:language>
  <cp:lastModifiedBy/>
  <dcterms:modified xsi:type="dcterms:W3CDTF">2023-05-04T00:27:03Z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