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NewRoman" w:hAnsi="TimesNewRoman"/>
          <w:color w:val="000000"/>
          <w:sz w:val="22"/>
          <w:szCs w:val="22"/>
          <w:u w:val="none"/>
        </w:rPr>
      </w:pPr>
      <w:r>
        <w:rPr>
          <w:rFonts w:ascii="TimesNewRoman" w:hAnsi="TimesNewRoman"/>
          <w:b/>
          <w:color w:val="000000"/>
          <w:sz w:val="22"/>
          <w:szCs w:val="22"/>
          <w:u w:val="none"/>
        </w:rPr>
        <w:t>Задание по практике по биоинформатике</w:t>
      </w:r>
      <w:r>
        <w:rPr>
          <w:rFonts w:ascii="TimesNewRoman" w:hAnsi="TimesNewRoman"/>
          <w:color w:val="000000"/>
          <w:sz w:val="22"/>
          <w:szCs w:val="22"/>
          <w:u w:val="none"/>
        </w:rPr>
        <w:br/>
        <w:t>студента 4 курса специальности «Биоинженерия и биоинформатика»</w:t>
      </w:r>
    </w:p>
    <w:p>
      <w:pPr>
        <w:pStyle w:val="Normal"/>
        <w:jc w:val="right"/>
        <w:rPr>
          <w:rFonts w:ascii="TimesNewRoman" w:hAnsi="TimesNewRoman"/>
          <w:color w:val="00000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«Исследование транскрипционного фактора, связанного с заболеванием </w:t>
      </w:r>
      <w:r>
        <w:rPr>
          <w:rFonts w:eastAsia="DejaVu Sans" w:cs="Noto Sans" w:ascii="TimesNewRoman" w:hAnsi="TimesNewRoman"/>
          <w:b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lang w:val="ru-RU" w:eastAsia="zh-CN" w:bidi="hi-IN"/>
        </w:rPr>
        <w:t>семейная гиперхолестеринемия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»</w:t>
      </w:r>
    </w:p>
    <w:p>
      <w:pPr>
        <w:pStyle w:val="Normal"/>
        <w:jc w:val="right"/>
        <w:rPr>
          <w:rFonts w:ascii="TimesNewRoman" w:hAnsi="TimesNewRoman"/>
          <w:color w:val="000000"/>
          <w:sz w:val="22"/>
          <w:szCs w:val="22"/>
          <w:u w:val="none"/>
        </w:rPr>
      </w:pPr>
      <w:r>
        <w:rPr>
          <w:rFonts w:ascii="TimesNewRoman" w:hAnsi="TimesNewRoman"/>
          <w:color w:val="000000"/>
          <w:sz w:val="22"/>
          <w:szCs w:val="22"/>
          <w:u w:val="none"/>
        </w:rPr>
        <w:t>Гориченко Ивана Вадимовича</w:t>
      </w:r>
    </w:p>
    <w:p>
      <w:pPr>
        <w:pStyle w:val="Normal"/>
        <w:jc w:val="right"/>
        <w:rPr>
          <w:rFonts w:ascii="TimesNewRoman" w:hAnsi="TimesNewRoman"/>
          <w:color w:val="000000"/>
          <w:sz w:val="22"/>
          <w:szCs w:val="22"/>
          <w:u w:val="none"/>
        </w:rPr>
      </w:pPr>
      <w:r>
        <w:rPr>
          <w:rFonts w:eastAsia="DejaVu Sans" w:cs="Noto Sans" w:ascii="TimesNewRoman" w:hAnsi="TimesNewRoman"/>
          <w:color w:val="000000"/>
          <w:kern w:val="2"/>
          <w:sz w:val="22"/>
          <w:szCs w:val="22"/>
          <w:u w:val="none"/>
          <w:lang w:val="ru-RU" w:eastAsia="zh-CN" w:bidi="hi-IN"/>
        </w:rPr>
        <w:t>07</w:t>
      </w:r>
      <w:r>
        <w:rPr>
          <w:rFonts w:ascii="TimesNewRoman" w:hAnsi="TimesNewRoman"/>
          <w:color w:val="000000"/>
          <w:sz w:val="22"/>
          <w:szCs w:val="22"/>
          <w:u w:val="none"/>
        </w:rPr>
        <w:t>.12.2021г.</w:t>
      </w:r>
    </w:p>
    <w:p>
      <w:pPr>
        <w:pStyle w:val="Style21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>Факторы транскрипции — белки, контролирующие процесс синтеза мРНК, а также других видов РНК на матрице ДНК путём связывания со специфичными участками ДНК. Транскрипционные факторы выполняют свою функцию либо самостоятельно, либо в комплексе с другими белками.</w:t>
      </w:r>
    </w:p>
    <w:p>
      <w:pPr>
        <w:pStyle w:val="Style21"/>
        <w:widowControl/>
        <w:ind w:left="0" w:right="0" w:hanging="0"/>
        <w:jc w:val="center"/>
        <w:rPr>
          <w:rFonts w:ascii="TimesNewRoman" w:hAnsi="TimesNew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Структура гена.</w:t>
      </w:r>
    </w:p>
    <w:p>
      <w:pPr>
        <w:pStyle w:val="Style21"/>
        <w:widowControl/>
        <w:ind w:left="0" w:right="0" w:hanging="0"/>
        <w:rPr>
          <w:rFonts w:ascii="TimesNewRoman" w:hAnsi="TimesNewRoman"/>
          <w:color w:val="00000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Поиск в GenBank (https://www.ncbi.nlm.nih.gov/genbank/) дал 19 результатов, из них 9 для человека по болезни Gaucher’s disease.</w:t>
      </w:r>
    </w:p>
    <w:p>
      <w:pPr>
        <w:pStyle w:val="Style21"/>
        <w:widowControl/>
        <w:ind w:left="0" w:right="0" w:hanging="0"/>
        <w:rPr>
          <w:rFonts w:ascii="TimesNewRoman" w:hAnsi="TimesNewRoman"/>
          <w:color w:val="00000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Рассмотрим структуру белков, кодируемых генами из списка для </w:t>
      </w:r>
      <w:r>
        <w:rPr>
          <w:rFonts w:eastAsia="DejaVu Sans" w:cs="Noto Sans" w:ascii="TimesNewRoman" w:hAnsi="TimesNewRoman"/>
          <w:b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lang w:val="ru-RU" w:eastAsia="zh-CN" w:bidi="hi-IN"/>
        </w:rPr>
        <w:t>семейной гиперхолестеринемии (СГХС), в таблице показаны гены, чей счет не менее 37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</w:p>
    <w:p>
      <w:pPr>
        <w:pStyle w:val="Style21"/>
        <w:widowControl/>
        <w:ind w:left="0" w:right="0" w:hanging="0"/>
        <w:jc w:val="right"/>
        <w:rPr>
          <w:rFonts w:ascii="TimesNewRoman" w:hAnsi="TimesNewRoman"/>
          <w:color w:val="00000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Таблица. Гены </w:t>
      </w:r>
      <w:r>
        <w:rPr>
          <w:rFonts w:eastAsia="DejaVu Sans" w:cs="Noto Sans" w:ascii="TimesNewRoman" w:hAnsi="TimesNewRoman"/>
          <w:b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lang w:val="ru-RU" w:eastAsia="zh-CN" w:bidi="hi-IN"/>
        </w:rPr>
        <w:t>СХГС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из GeneCards    </w:t>
      </w:r>
    </w:p>
    <w:tbl>
      <w:tblPr>
        <w:tblW w:w="9575" w:type="dxa"/>
        <w:jc w:val="left"/>
        <w:tblInd w:w="69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6"/>
        <w:gridCol w:w="5500"/>
        <w:gridCol w:w="1700"/>
        <w:gridCol w:w="788"/>
      </w:tblGrid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jc w:val="center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Ген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jc w:val="center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Краткое описание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jc w:val="center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Категория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jc w:val="center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Счет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LDLR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Low Density Lipoprotein Receptor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235.00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APOB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Apolipoprotein B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216.31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PCSK9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  <w:lang w:val="en-US"/>
              </w:rPr>
              <w:t>Proprotein Convertase Subtilisin/Kexin Type 9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149.20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BRCA2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BRCA2 DNA Repair Associated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109.99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LDLRAP1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  <w:lang w:val="en-US"/>
              </w:rPr>
              <w:t>Low Density Lipoprotein Receptor Adaptor Protein 1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94.77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LDLR-AS1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LDLR Antisense RNA 1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RNA Gene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70.18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LOC106560211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APOB 5' Regulatory Region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Biological Region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56.96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FLNC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Filamin C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53.78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APOE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Apolipoprotein E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50.09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MIR6886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MicroRNA 6886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RNA Gene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50.03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APOA2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Apolipoprotein A2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47.78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SMARCA4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  <w:lang w:val="en-US"/>
              </w:rPr>
              <w:t>SWI/SNF Related, Matrix Associated, Actin Dependent Regulator Of Chromatin, Subfamily A, Member 4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41.43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ABCA1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  <w:lang w:val="en-US"/>
              </w:rPr>
              <w:t>ATP Binding Cassette Subfamily A Member 1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40.82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MYH7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Myosin Heavy Chain 7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39.13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GHR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Growth Hormone Receptor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39.09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LMNA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Lamin A/C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39.03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LPL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Lipoprotein Lipase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38.92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RELN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Reelin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38.19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TNNT2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Troponin T2, Cardiac Type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37.77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MYLK</w:t>
            </w:r>
          </w:p>
        </w:tc>
        <w:tc>
          <w:tcPr>
            <w:tcW w:w="55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Myosin Light Chain Kinase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Protein Coding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Style25"/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NewRoman" w:hAnsi="TimesNewRoman"/>
                <w:color w:val="000000"/>
                <w:sz w:val="22"/>
                <w:szCs w:val="22"/>
                <w:u w:val="none"/>
              </w:rPr>
              <w:t>37.45</w:t>
            </w:r>
          </w:p>
        </w:tc>
      </w:tr>
    </w:tbl>
    <w:p>
      <w:pPr>
        <w:pStyle w:val="Normal"/>
        <w:rPr>
          <w:rFonts w:ascii="TimesNewRoman" w:hAnsi="TimesNewRoman"/>
          <w:color w:val="000000"/>
          <w:sz w:val="22"/>
          <w:szCs w:val="22"/>
          <w:u w:val="none"/>
          <w:lang w:val="en-US"/>
        </w:rPr>
      </w:pPr>
      <w:r>
        <w:rPr>
          <w:rFonts w:ascii="TimesNewRoman" w:hAnsi="TimesNewRoman"/>
          <w:color w:val="000000"/>
          <w:sz w:val="22"/>
          <w:szCs w:val="22"/>
          <w:u w:val="none"/>
          <w:lang w:val="en-US"/>
        </w:rPr>
      </w:r>
    </w:p>
    <w:p>
      <w:pPr>
        <w:pStyle w:val="Normal"/>
        <w:rPr>
          <w:rFonts w:ascii="TimesNewRoman" w:hAnsi="TimesNewRoman"/>
          <w:color w:val="000000"/>
          <w:sz w:val="22"/>
          <w:szCs w:val="22"/>
          <w:u w:val="none"/>
        </w:rPr>
      </w:pPr>
      <w:r>
        <w:rPr>
          <w:rFonts w:ascii="TimesNewRoman" w:hAnsi="TimesNewRoman"/>
          <w:color w:val="000000"/>
          <w:sz w:val="22"/>
          <w:szCs w:val="22"/>
          <w:u w:val="none"/>
          <w:lang w:val="en-US"/>
        </w:rPr>
        <w:t xml:space="preserve">Для дальнейшего анализа был взят ген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SREBF1 (Sterol Regulatory Element Binding Transcription Factor 1), у которого счет составляет 16,54.</w:t>
      </w:r>
    </w:p>
    <w:p>
      <w:pPr>
        <w:pStyle w:val="2"/>
        <w:rPr>
          <w:rFonts w:ascii="TimesNewRoman" w:hAnsi="TimesNewRoman"/>
          <w:color w:val="000000"/>
          <w:sz w:val="22"/>
          <w:szCs w:val="22"/>
          <w:u w:val="none"/>
          <w:lang w:val="en-US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 xml:space="preserve">Из интернет-ресурса GenBank было взято графическое представление гена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  <w:lang w:val="en-US"/>
        </w:rPr>
        <w:t>SREBF1 (https://www.ncbi.nlm.nih.gov/gene/6720).</w:t>
      </w:r>
    </w:p>
    <w:p>
      <w:pPr>
        <w:pStyle w:val="Normal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  <w:lang w:val="en-US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  <w:lang w:val="en-US"/>
        </w:rPr>
      </w:r>
    </w:p>
    <w:p>
      <w:pPr>
        <w:pStyle w:val="Normal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  <w:lang w:val="en-US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  <w:lang w:val="en-US"/>
        </w:rPr>
      </w:r>
    </w:p>
    <w:p>
      <w:pPr>
        <w:pStyle w:val="Normal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  <w:lang w:val="en-US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  <w:lang w:val="en-US"/>
        </w:rPr>
      </w:r>
    </w:p>
    <w:p>
      <w:pPr>
        <w:pStyle w:val="2"/>
        <w:jc w:val="center"/>
        <w:rPr>
          <w:rFonts w:ascii="TimesNewRoman" w:hAnsi="TimesNewRoman"/>
          <w:color w:val="000000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35800" cy="229489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" w:hAnsi="TimesNewRoman"/>
          <w:color w:val="000000"/>
          <w:sz w:val="22"/>
          <w:szCs w:val="22"/>
          <w:u w:val="none"/>
        </w:rPr>
        <w:t>С</w:t>
      </w:r>
      <w:r>
        <w:rPr>
          <w:rFonts w:ascii="TimesNewRoman" w:hAnsi="TimesNewRoman"/>
          <w:color w:val="000000"/>
          <w:sz w:val="22"/>
          <w:szCs w:val="22"/>
          <w:u w:val="none"/>
        </w:rPr>
        <w:t>труктура белка.</w:t>
      </w:r>
    </w:p>
    <w:p>
      <w:pPr>
        <w:pStyle w:val="Normal"/>
        <w:jc w:val="left"/>
        <w:rPr>
          <w:rFonts w:ascii="TimesNewRoman" w:hAnsi="TimesNewRoman"/>
          <w:color w:val="000000"/>
          <w:sz w:val="22"/>
          <w:szCs w:val="22"/>
          <w:u w:val="none"/>
        </w:rPr>
      </w:pPr>
      <w:r>
        <w:rPr>
          <w:rFonts w:ascii="TimesNewRoman" w:hAnsi="TimesNewRoman"/>
          <w:color w:val="000000"/>
          <w:sz w:val="22"/>
          <w:szCs w:val="22"/>
          <w:u w:val="none"/>
        </w:rPr>
        <w:t xml:space="preserve"> </w:t>
      </w:r>
      <w:r>
        <w:rPr>
          <w:rFonts w:ascii="TimesNewRoman" w:hAnsi="TimesNewRoman"/>
          <w:color w:val="000000"/>
          <w:sz w:val="22"/>
          <w:szCs w:val="22"/>
          <w:u w:val="none"/>
        </w:rPr>
        <w:t xml:space="preserve">С базы данных UniProt была получена информация о кодируемом геном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SREBF1</w:t>
      </w:r>
      <w:r>
        <w:rPr>
          <w:rFonts w:ascii="TimesNewRoman" w:hAnsi="TimesNewRoman"/>
          <w:color w:val="000000"/>
          <w:sz w:val="22"/>
          <w:szCs w:val="22"/>
          <w:u w:val="none"/>
        </w:rPr>
        <w:t xml:space="preserve"> белке.</w:t>
      </w:r>
    </w:p>
    <w:p>
      <w:pPr>
        <w:pStyle w:val="Normal"/>
        <w:jc w:val="left"/>
        <w:rPr>
          <w:rFonts w:ascii="TimesNewRoman" w:hAnsi="TimesNewRoman"/>
          <w:color w:val="000000"/>
          <w:sz w:val="22"/>
          <w:szCs w:val="22"/>
          <w:u w:val="none"/>
        </w:rPr>
      </w:pPr>
      <w:r>
        <w:rPr>
          <w:rFonts w:ascii="TimesNewRoman" w:hAnsi="TimesNewRoman"/>
          <w:color w:val="000000"/>
          <w:sz w:val="22"/>
          <w:szCs w:val="22"/>
          <w:u w:val="none"/>
        </w:rPr>
        <w:t xml:space="preserve">Название белка: </w:t>
      </w:r>
      <w:r>
        <w:rPr>
          <w:rFonts w:ascii="TimesNewRoman" w:hAnsi="TimesNew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Sterol regulatory element-binding protein 1.</w:t>
      </w:r>
    </w:p>
    <w:p>
      <w:pPr>
        <w:pStyle w:val="Normal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Идентификационный номер белка: P36956</w:t>
      </w:r>
    </w:p>
    <w:p>
      <w:pPr>
        <w:pStyle w:val="Normal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Функция белка: Предшественник формы фактора транскрипции, который встроен в мембрану эндоплазматического ретикулума. Низкие концентрации стерола способствуют переработке этой формы, высвобождая форму фактора транскрипции, которая транслоцируется в ядро и активирует транскрипцию генов, участвующих в биосинтезе холестерина и гомеостазе липидов.</w:t>
      </w:r>
    </w:p>
    <w:p>
      <w:pPr>
        <w:pStyle w:val="Normal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С сайта базы данных «PDB» была взято изображение пространственной структуры белка (https://www.ebi.ac.uk/pdbe/entry/pdb/1am9).</w:t>
      </w:r>
    </w:p>
    <w:p>
      <w:pPr>
        <w:pStyle w:val="Normal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p>
      <w:pPr>
        <w:pStyle w:val="Normal"/>
        <w:jc w:val="righ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Структура белка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SREBF1</w:t>
      </w:r>
    </w:p>
    <w:p>
      <w:pPr>
        <w:pStyle w:val="Normal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417195</wp:posOffset>
            </wp:positionH>
            <wp:positionV relativeFrom="paragraph">
              <wp:posOffset>3810</wp:posOffset>
            </wp:positionV>
            <wp:extent cx="3931920" cy="393192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Структура белка представлена альфа-спиралями. Видна двойная спираль ДНК в центре рисунка.</w:t>
      </w:r>
    </w:p>
    <w:p>
      <w:pPr>
        <w:pStyle w:val="Normal"/>
        <w:jc w:val="left"/>
        <w:rPr>
          <w:rFonts w:ascii="TimesNewRoman" w:hAnsi="TimesNewRoman"/>
          <w:color w:val="000000"/>
          <w:sz w:val="22"/>
          <w:szCs w:val="22"/>
          <w:u w:val="none"/>
        </w:rPr>
      </w:pPr>
      <w:r>
        <w:rPr>
          <w:rFonts w:ascii="TimesNewRoman" w:hAnsi="TimesNewRoman"/>
          <w:color w:val="000000"/>
          <w:sz w:val="22"/>
          <w:szCs w:val="22"/>
          <w:u w:val="none"/>
        </w:rPr>
      </w:r>
    </w:p>
    <w:p>
      <w:pPr>
        <w:pStyle w:val="Normal"/>
        <w:jc w:val="center"/>
        <w:rPr>
          <w:rFonts w:ascii="TimesNewRoman" w:hAnsi="TimesNew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Тип ДНК-связывающего домена ТФ.</w:t>
      </w:r>
    </w:p>
    <w:p>
      <w:pPr>
        <w:pStyle w:val="Style21"/>
        <w:widowControl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Классификация белка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SREBF1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по данным TRANSFAC (</w:t>
      </w:r>
      <w:hyperlink r:id="rId4">
        <w:r>
          <w:rPr>
            <w:rFonts w:ascii="TimesNewRoman" w:hAnsi="TimesNewRoman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http://factor.genexplain.com/cgi-bin/transfac_factor/getTF.cgi?AC=T08912</w:t>
        </w:r>
      </w:hyperlink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)</w:t>
      </w:r>
    </w:p>
    <w:p>
      <w:pPr>
        <w:pStyle w:val="Style21"/>
        <w:widowControl/>
        <w:ind w:left="0" w:right="0" w:hanging="0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Белок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 xml:space="preserve">SREBF1  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относится к классу - Class D basic helix-loop-helix protein 1 (bHLHd1).</w:t>
      </w:r>
    </w:p>
    <w:p>
      <w:pPr>
        <w:pStyle w:val="Style21"/>
        <w:widowControl/>
        <w:ind w:left="0" w:right="0" w:hanging="0"/>
        <w:jc w:val="center"/>
        <w:rPr>
          <w:rFonts w:ascii="TimesNewRoman" w:hAnsi="TimesNew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Мотив связывания.</w:t>
      </w:r>
    </w:p>
    <w:p>
      <w:pPr>
        <w:pStyle w:val="Style21"/>
        <w:widowControl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Для анализа мотива связывания белка 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 xml:space="preserve">SREBF1 был использован интернет-ресурс 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JASPAR (</w:t>
      </w:r>
      <w:hyperlink r:id="rId5">
        <w:r>
          <w:rPr>
            <w:rFonts w:ascii="TimesNewRoman" w:hAnsi="TimesNewRoman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https://jaspar.genereg.net/matrix/MA0595.1/?revcomp=0</w:t>
        </w:r>
      </w:hyperlink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).</w:t>
      </w:r>
    </w:p>
    <w:p>
      <w:pPr>
        <w:pStyle w:val="Style21"/>
        <w:widowControl/>
        <w:ind w:left="0" w:right="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Для нашего белка матрица мотива представлена на рисунке ниже.</w:t>
      </w:r>
    </w:p>
    <w:p>
      <w:pPr>
        <w:pStyle w:val="Style21"/>
        <w:widowControl/>
        <w:ind w:left="0" w:right="0" w:hanging="0"/>
        <w:jc w:val="right"/>
        <w:rPr>
          <w:strike w:val="false"/>
          <w:dstrike w:val="false"/>
          <w:highlight w:val="white"/>
          <w:effect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Рисунок. Матрица мотива связывания 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SREBF1.</w:t>
      </w:r>
    </w:p>
    <w:p>
      <w:pPr>
        <w:pStyle w:val="Style21"/>
        <w:widowControl/>
        <w:ind w:left="0" w:right="0" w:hanging="0"/>
        <w:jc w:val="righ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3060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Р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исунок. Логотип мотива связывания ТФ.</w:t>
      </w:r>
    </w:p>
    <w:p>
      <w:pPr>
        <w:pStyle w:val="Style21"/>
        <w:widowControl/>
        <w:ind w:left="0" w:right="0" w:hanging="0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П</w:t>
      </w:r>
      <w:r>
        <w:rPr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оследовательности ДНК с координатами на хромосомах, их положение </w:t>
      </w:r>
      <w:r>
        <w:rPr>
          <w:rFonts w:eastAsia="DejaVu Sans" w:cs="Noto Sans" w:ascii="TimesNewRoman" w:hAnsi="TimesNewRoman"/>
          <w:b/>
          <w:bCs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lang w:val="ru-RU" w:eastAsia="zh-CN" w:bidi="hi-IN"/>
        </w:rPr>
        <w:t>в</w:t>
      </w:r>
      <w:r>
        <w:rPr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геноме.</w:t>
      </w:r>
    </w:p>
    <w:p>
      <w:pPr>
        <w:pStyle w:val="Style21"/>
        <w:widowControl/>
        <w:ind w:left="0" w:right="0" w:hanging="0"/>
        <w:jc w:val="left"/>
        <w:rPr/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Для визуализации положения гена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SREBF1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была использована база данных «Gen</w:t>
      </w:r>
      <w:r>
        <w:rPr>
          <w:rFonts w:eastAsia="DejaVu Sans" w:cs="Noto Sans" w:ascii="TimesNewRoman" w:hAnsi="TimesNewRoman"/>
          <w:b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lang w:val="ru-RU" w:eastAsia="zh-CN" w:bidi="hi-IN"/>
        </w:rPr>
        <w:t>e»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(</w:t>
      </w:r>
      <w:hyperlink r:id="rId8">
        <w:r>
          <w:rPr>
            <w:rFonts w:ascii="TimesNewRoman" w:hAnsi="TimesNewRoman"/>
            <w:color w:val="000000"/>
            <w:sz w:val="22"/>
            <w:szCs w:val="22"/>
            <w:u w:val="none"/>
          </w:rPr>
          <w:t>https://www.ncbi.nlm.nih.gov/gene/6720</w:t>
        </w:r>
      </w:hyperlink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).</w:t>
      </w:r>
    </w:p>
    <w:p>
      <w:pPr>
        <w:pStyle w:val="Style21"/>
        <w:widowControl/>
        <w:ind w:left="0" w:right="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Локализация гена: 17p11.2.</w:t>
      </w:r>
    </w:p>
    <w:p>
      <w:pPr>
        <w:pStyle w:val="Style21"/>
        <w:widowControl/>
        <w:ind w:left="0" w:right="0" w:hanging="0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Число экзонов: 23</w:t>
      </w:r>
    </w:p>
    <w:p>
      <w:pPr>
        <w:pStyle w:val="Style21"/>
        <w:widowControl/>
        <w:ind w:left="0" w:right="0" w:hanging="0"/>
        <w:jc w:val="left"/>
        <w:rPr>
          <w:rFonts w:ascii="TimesNewRoman" w:hAnsi="TimesNewRoman"/>
          <w:color w:val="000000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7065" cy="1617980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А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также был использован геномный браузер </w:t>
      </w:r>
      <w:r>
        <w:rPr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«UCSC»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(https://genome.ucsc.edu/cgi-bin/hgTracks?db=hg19&amp;lastVirtModeType=default&amp;lastVirtModeExtraState=&amp;virtModeType=default&amp;virtMode=0&amp;nonVirtPosition=&amp;position=chr17%3A17714663%2D17740325&amp;hgsid=1231810057_FmrcOuT3E7kDfm3De3Ke4fjvdAUN) и </w:t>
      </w:r>
      <w:r>
        <w:rPr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«</w:t>
      </w:r>
      <w:r>
        <w:rPr>
          <w:rFonts w:eastAsia="DejaVu Sans" w:cs="Noto Sans" w:ascii="TimesNewRoman" w:hAnsi="TimesNewRoman"/>
          <w:b/>
          <w:bCs/>
          <w:i w:val="false"/>
          <w:caps w:val="false"/>
          <w:smallCaps w:val="false"/>
          <w:color w:val="000000"/>
          <w:spacing w:val="0"/>
          <w:kern w:val="2"/>
          <w:sz w:val="22"/>
          <w:szCs w:val="22"/>
          <w:u w:val="none"/>
          <w:lang w:val="ru-RU" w:eastAsia="zh-CN" w:bidi="hi-IN"/>
        </w:rPr>
        <w:t>Е</w:t>
      </w:r>
      <w:r>
        <w:rPr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nsembl»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(http://www.ensembl.org/Homo_sapiens/Gene/Summary?db=core;g=ENSG00000072310;r=17:17810399-17837002).</w:t>
      </w:r>
    </w:p>
    <w:p>
      <w:pPr>
        <w:pStyle w:val="Style21"/>
        <w:widowControl/>
        <w:ind w:left="0" w:right="0" w:hanging="0"/>
        <w:jc w:val="righ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Рисунок. Расположение гена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SREBF1 («UCSC»).</w:t>
      </w:r>
    </w:p>
    <w:p>
      <w:pPr>
        <w:pStyle w:val="Normal"/>
        <w:jc w:val="right"/>
        <w:rPr>
          <w:rFonts w:ascii="TimesNewRoman" w:hAnsi="TimesNewRoman"/>
          <w:color w:val="000000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948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Р</w:t>
      </w:r>
      <w:r>
        <w:rPr>
          <w:rFonts w:ascii="TimesNewRoman" w:hAnsi="TimesNew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исунок. Расположение гена 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SREBF1 («</w:t>
      </w:r>
      <w:r>
        <w:rPr>
          <w:rFonts w:eastAsia="DejaVu Sans" w:cs="Noto Sans" w:ascii="TimesNewRoman" w:hAnsi="TimesNew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highlight w:val="white"/>
          <w:u w:val="none"/>
          <w:effect w:val="none"/>
          <w:lang w:val="ru-RU" w:eastAsia="zh-CN" w:bidi="hi-IN"/>
        </w:rPr>
        <w:t>Еnsembl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»).</w:t>
      </w:r>
    </w:p>
    <w:p>
      <w:pPr>
        <w:pStyle w:val="Normal"/>
        <w:jc w:val="center"/>
        <w:rPr>
          <w:rFonts w:ascii="TimesNewRoman" w:hAnsi="TimesNew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422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Ф</w:t>
      </w:r>
      <w:r>
        <w:rPr>
          <w:rFonts w:ascii="TimesNewRoman" w:hAnsi="TimesNew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илогения гена  </w:t>
      </w:r>
      <w:r>
        <w:rPr>
          <w:rFonts w:ascii="TimesNewRoman" w:hAnsi="TimesNew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SREBF1.</w:t>
      </w:r>
    </w:p>
    <w:p>
      <w:pPr>
        <w:pStyle w:val="Normal"/>
        <w:jc w:val="left"/>
        <w:rPr/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Для построения филогенетического д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е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рева были взяты варианты гена  SREBF1 от разных организмов: человека (Homo sapiens), мыши (</w:t>
      </w:r>
      <w:bookmarkStart w:id="0" w:name="gene-name3"/>
      <w:bookmarkEnd w:id="0"/>
      <w:r>
        <w:rPr>
          <w:rStyle w:val="Style18"/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Mus musculus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), овцы (</w:t>
      </w:r>
      <w:bookmarkStart w:id="1" w:name="gene-name"/>
      <w:bookmarkEnd w:id="1"/>
      <w:r>
        <w:rPr>
          <w:rStyle w:val="Style18"/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Capra hircus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), шимпанзе (</w:t>
      </w:r>
      <w:bookmarkStart w:id="2" w:name="gene-name2"/>
      <w:bookmarkEnd w:id="2"/>
      <w:r>
        <w:rPr>
          <w:rStyle w:val="Style18"/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Pan troglodytes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), Данио-рерио (</w:t>
      </w:r>
      <w:bookmarkStart w:id="3" w:name="gene-name4"/>
      <w:bookmarkEnd w:id="3"/>
      <w:r>
        <w:rPr>
          <w:rStyle w:val="Style18"/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Danio rerio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), курицы (</w:t>
      </w:r>
      <w:bookmarkStart w:id="4" w:name="gene-name1"/>
      <w:bookmarkEnd w:id="4"/>
      <w:r>
        <w:rPr>
          <w:rStyle w:val="Style18"/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Gallus gallus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).</w:t>
      </w:r>
    </w:p>
    <w:p>
      <w:pPr>
        <w:pStyle w:val="Normal"/>
        <w:jc w:val="lef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Последовательности различных вариантов гена были взяты из источников: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hyperlink r:id="rId12">
        <w:r>
          <w:rPr>
            <w:rFonts w:ascii="TimesNewRoman" w:hAnsi="TimesNew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https://www.ncbi.nlm.nih.gov/nuccore</w:t>
        </w:r>
      </w:hyperlink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 xml:space="preserve"> — человек.</w:t>
      </w:r>
    </w:p>
    <w:p>
      <w:pPr>
        <w:pStyle w:val="Normal"/>
        <w:numPr>
          <w:ilvl w:val="0"/>
          <w:numId w:val="1"/>
        </w:numPr>
        <w:jc w:val="left"/>
        <w:rPr/>
      </w:pPr>
      <w:hyperlink r:id="rId13">
        <w:r>
          <w:rPr>
            <w:rFonts w:ascii="TimesNewRoman" w:hAnsi="TimesNew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https://www.ncbi.nlm.nih.gov/nuccore/NC_000077.7?report=fasta&amp;from=60089910&amp;to=60113407&amp;strand=true</w:t>
        </w:r>
      </w:hyperlink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 xml:space="preserve"> — </w:t>
      </w:r>
      <w:r>
        <w:rPr>
          <w:rFonts w:eastAsia="DejaVu Sans" w:cs="Noto Sans"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highlight w:val="white"/>
          <w:u w:val="none"/>
          <w:effect w:val="none"/>
          <w:lang w:val="ru-RU" w:eastAsia="zh-CN" w:bidi="hi-IN"/>
        </w:rPr>
        <w:t>мышь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hyperlink r:id="rId14">
        <w:r>
          <w:rPr>
            <w:rFonts w:ascii="TimesNewRoman" w:hAnsi="TimesNew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https://www.ncbi.nlm.nih.gov/nuccore/NC_052545.1?report=fasta&amp;from=4914681&amp;to=4926727&amp;strand=true</w:t>
        </w:r>
      </w:hyperlink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 xml:space="preserve"> — курица.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hyperlink r:id="rId15">
        <w:r>
          <w:rPr>
            <w:rFonts w:ascii="TimesNewRoman" w:hAnsi="TimesNew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https://www.ncbi.nlm.nih.gov/nuccore/NC_030826.1?report=fasta&amp;from=34288792&amp;to=34295549</w:t>
        </w:r>
      </w:hyperlink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 xml:space="preserve"> — овца.</w:t>
      </w:r>
    </w:p>
    <w:p>
      <w:pPr>
        <w:pStyle w:val="Normal"/>
        <w:numPr>
          <w:ilvl w:val="0"/>
          <w:numId w:val="1"/>
        </w:numPr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2"/>
          <w:szCs w:val="22"/>
          <w:highlight w:val="white"/>
          <w:effect w:val="none"/>
        </w:rPr>
      </w:pPr>
      <w:hyperlink r:id="rId16">
        <w:r>
          <w:rPr>
            <w:rFonts w:ascii="TimesNewRoman" w:hAnsi="TimesNew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https://www.ncbi.nlm.nih.gov/nuccore/NC_036896.1?report=fasta&amp;from=33944239&amp;to=33970720</w:t>
        </w:r>
      </w:hyperlink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 xml:space="preserve"> -  шимпанзе.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hyperlink r:id="rId17">
        <w:r>
          <w:rPr>
            <w:rFonts w:ascii="TimesNewRoman" w:hAnsi="TimesNew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https://www.ncbi.nlm.nih.gov/nuccore/NC_007114.7?report=fasta&amp;from=62061261&amp;to=62087346&amp;strand=true</w:t>
        </w:r>
      </w:hyperlink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 xml:space="preserve"> - данио-рерио.</w:t>
      </w:r>
    </w:p>
    <w:p>
      <w:pPr>
        <w:pStyle w:val="Normal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2"/>
          <w:szCs w:val="22"/>
          <w:highlight w:val="white"/>
          <w:effect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Все последовательности были собраны в один fasta файл и выравнены. Для выравнивания последовательностей и построения филогенетического д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е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рева использовалась программа «MEGA» (</w:t>
      </w:r>
      <w:hyperlink r:id="rId18">
        <w:r>
          <w:rPr>
            <w:rFonts w:ascii="TimesNewRoman" w:hAnsi="TimesNew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https://www.megasoftware.net/</w:t>
        </w:r>
      </w:hyperlink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). Ниже представлено получившееся д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е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рево.</w:t>
      </w:r>
    </w:p>
    <w:p>
      <w:pPr>
        <w:pStyle w:val="Normal"/>
        <w:jc w:val="right"/>
        <w:rPr>
          <w:rFonts w:ascii="TimesNewRoman" w:hAnsi="TimesNew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</w:pP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Рисунок. Филогенетическое д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е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рево гена  SREBF1.</w:t>
      </w:r>
    </w:p>
    <w:p>
      <w:pPr>
        <w:pStyle w:val="Normal"/>
        <w:jc w:val="left"/>
        <w:rPr>
          <w:rFonts w:ascii="TimesNewRoman" w:hAnsi="TimesNewRoman"/>
          <w:color w:val="000000"/>
          <w:sz w:val="22"/>
          <w:szCs w:val="22"/>
          <w:u w:val="non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47585" cy="497903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58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И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 xml:space="preserve">сходя из филогении можно сделать вывод, что родство генов имеет прямую зависимость от </w:t>
      </w:r>
      <w:r>
        <w:rPr>
          <w:rFonts w:eastAsia="DejaVu Sans" w:cs="Noto Sans"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highlight w:val="white"/>
          <w:u w:val="none"/>
          <w:effect w:val="none"/>
          <w:lang w:val="ru-RU" w:eastAsia="zh-CN" w:bidi="hi-IN"/>
        </w:rPr>
        <w:t>классификации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 xml:space="preserve"> организмов, так ген шимпанзе наиболее схож с человеческим (человек и шимпанзе относятся к одной трибе), ген мыши уже расположен дальше от гена человека, затем ген овцы (мышь, овца, шимпанзе и человек относятся к одному классу), ген курицы расположен еще дальше (курица и человек относятся к одному </w:t>
      </w:r>
      <w:r>
        <w:rPr>
          <w:rFonts w:eastAsia="DejaVu Sans" w:cs="Noto Sans"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highlight w:val="white"/>
          <w:u w:val="none"/>
          <w:effect w:val="none"/>
          <w:lang w:val="ru-RU" w:eastAsia="zh-CN" w:bidi="hi-IN"/>
        </w:rPr>
        <w:t>надклассу Четвероногих</w:t>
      </w:r>
      <w:r>
        <w:rPr>
          <w:rFonts w:ascii="TimesNewRoman" w:hAnsi="TimesNew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), и наиболее отдаленный ген — ген рыбы  данио-рерио, классификация человека и  данио-рерио сходяится только на инфратипе Челюстноротые.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ohit Devanaga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1">
    <w:name w:val="Heading 1"/>
    <w:basedOn w:val="Style20"/>
    <w:next w:val="Style21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cs="Lohit Devanagari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примечания Знак"/>
    <w:basedOn w:val="DefaultParagraphFont"/>
    <w:qFormat/>
    <w:rPr>
      <w:rFonts w:ascii="Lohit Devanagari" w:hAnsi="Lohit Devanagari" w:eastAsia="DejaVu Sans" w:cs="Mangal"/>
      <w:sz w:val="20"/>
      <w:szCs w:val="18"/>
    </w:rPr>
  </w:style>
  <w:style w:type="character" w:styleId="Style16">
    <w:name w:val="Тема примечания Знак"/>
    <w:basedOn w:val="Style15"/>
    <w:qFormat/>
    <w:rPr>
      <w:rFonts w:ascii="Lohit Devanagari" w:hAnsi="Lohit Devanagari" w:eastAsia="DejaVu Sans" w:cs="Mangal"/>
      <w:b/>
      <w:bCs/>
      <w:sz w:val="20"/>
      <w:szCs w:val="18"/>
    </w:rPr>
  </w:style>
  <w:style w:type="character" w:styleId="Style17">
    <w:name w:val="Текст выноски Знак"/>
    <w:basedOn w:val="DefaultParagraphFont"/>
    <w:qFormat/>
    <w:rPr>
      <w:rFonts w:ascii="Tahoma" w:hAnsi="Tahoma" w:eastAsia="DejaVu Sans" w:cs="Mangal"/>
      <w:sz w:val="16"/>
      <w:szCs w:val="14"/>
    </w:rPr>
  </w:style>
  <w:style w:type="character" w:styleId="Style18">
    <w:name w:val="Выделение"/>
    <w:qFormat/>
    <w:rPr>
      <w:i/>
      <w:iCs/>
    </w:rPr>
  </w:style>
  <w:style w:type="character" w:styleId="Style19">
    <w:name w:val="Посещённая гиперссылка"/>
    <w:rPr>
      <w:color w:val="800000"/>
      <w:u w:val="single"/>
      <w:lang w:val="zxx" w:eastAsia="zxx" w:bidi="zxx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jc w:val="center"/>
    </w:pPr>
    <w:rPr>
      <w:b/>
      <w:bCs/>
    </w:rPr>
  </w:style>
  <w:style w:type="paragraph" w:styleId="Style27">
    <w:name w:val="Объект без заливки"/>
    <w:basedOn w:val="Normal"/>
    <w:qFormat/>
    <w:pPr/>
    <w:rPr/>
  </w:style>
  <w:style w:type="paragraph" w:styleId="Style28">
    <w:name w:val="Объект без заливки и линий"/>
    <w:basedOn w:val="Normal"/>
    <w:qFormat/>
    <w:pPr/>
    <w:rPr/>
  </w:style>
  <w:style w:type="paragraph" w:styleId="A4">
    <w:name w:val="A4"/>
    <w:basedOn w:val="PlainText"/>
    <w:qFormat/>
    <w:pPr/>
    <w:rPr>
      <w:rFonts w:ascii="Noto Sans" w:hAnsi="Noto Sans"/>
      <w:sz w:val="36"/>
    </w:rPr>
  </w:style>
  <w:style w:type="paragraph" w:styleId="PlainText">
    <w:name w:val="Plain Text"/>
    <w:basedOn w:val="Caption"/>
    <w:qFormat/>
    <w:pPr/>
    <w:rPr/>
  </w:style>
  <w:style w:type="paragraph" w:styleId="4">
    <w:name w:val="Заглавие А4"/>
    <w:basedOn w:val="A4"/>
    <w:qFormat/>
    <w:pPr/>
    <w:rPr>
      <w:sz w:val="87"/>
    </w:rPr>
  </w:style>
  <w:style w:type="paragraph" w:styleId="41">
    <w:name w:val="Заголовок А4"/>
    <w:basedOn w:val="A4"/>
    <w:qFormat/>
    <w:pPr/>
    <w:rPr>
      <w:sz w:val="48"/>
    </w:rPr>
  </w:style>
  <w:style w:type="paragraph" w:styleId="42">
    <w:name w:val="Текст А4"/>
    <w:basedOn w:val="A4"/>
    <w:qFormat/>
    <w:pPr/>
    <w:rPr/>
  </w:style>
  <w:style w:type="paragraph" w:styleId="A0">
    <w:name w:val="A0"/>
    <w:basedOn w:val="PlainText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sz w:val="191"/>
    </w:rPr>
  </w:style>
  <w:style w:type="paragraph" w:styleId="01">
    <w:name w:val="Заголовок А0"/>
    <w:basedOn w:val="A0"/>
    <w:qFormat/>
    <w:pPr/>
    <w:rPr>
      <w:sz w:val="143"/>
    </w:rPr>
  </w:style>
  <w:style w:type="paragraph" w:styleId="02">
    <w:name w:val="Текст А0"/>
    <w:basedOn w:val="A0"/>
    <w:qFormat/>
    <w:pPr/>
    <w:rPr/>
  </w:style>
  <w:style w:type="paragraph" w:styleId="Style29">
    <w:name w:val="Графика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Style30">
    <w:name w:val="Фигуры"/>
    <w:basedOn w:val="Style29"/>
    <w:qFormat/>
    <w:pPr/>
    <w:rPr>
      <w:b/>
      <w:sz w:val="28"/>
    </w:rPr>
  </w:style>
  <w:style w:type="paragraph" w:styleId="Style31">
    <w:name w:val="Заливка"/>
    <w:basedOn w:val="Style30"/>
    <w:qFormat/>
    <w:pPr/>
    <w:rPr/>
  </w:style>
  <w:style w:type="paragraph" w:styleId="Style32">
    <w:name w:val="Заливка синим"/>
    <w:basedOn w:val="Style31"/>
    <w:qFormat/>
    <w:pPr/>
    <w:rPr>
      <w:color w:val="FFFFFF"/>
    </w:rPr>
  </w:style>
  <w:style w:type="paragraph" w:styleId="Style33">
    <w:name w:val="Заливка зелёным"/>
    <w:basedOn w:val="Style31"/>
    <w:qFormat/>
    <w:pPr/>
    <w:rPr>
      <w:color w:val="FFFFFF"/>
    </w:rPr>
  </w:style>
  <w:style w:type="paragraph" w:styleId="Style34">
    <w:name w:val="Заливка красным"/>
    <w:basedOn w:val="Style31"/>
    <w:qFormat/>
    <w:pPr/>
    <w:rPr>
      <w:color w:val="FFFFFF"/>
    </w:rPr>
  </w:style>
  <w:style w:type="paragraph" w:styleId="Style35">
    <w:name w:val="Заливка жёлтым"/>
    <w:basedOn w:val="Style31"/>
    <w:qFormat/>
    <w:pPr/>
    <w:rPr>
      <w:color w:val="FFFFFF"/>
    </w:rPr>
  </w:style>
  <w:style w:type="paragraph" w:styleId="Style36">
    <w:name w:val="Контур"/>
    <w:basedOn w:val="Style30"/>
    <w:qFormat/>
    <w:pPr/>
    <w:rPr/>
  </w:style>
  <w:style w:type="paragraph" w:styleId="Style37">
    <w:name w:val="Контур синий"/>
    <w:basedOn w:val="Style36"/>
    <w:qFormat/>
    <w:pPr/>
    <w:rPr>
      <w:color w:val="355269"/>
    </w:rPr>
  </w:style>
  <w:style w:type="paragraph" w:styleId="Style38">
    <w:name w:val="Контур зеленый"/>
    <w:basedOn w:val="Style36"/>
    <w:qFormat/>
    <w:pPr/>
    <w:rPr>
      <w:color w:val="127622"/>
    </w:rPr>
  </w:style>
  <w:style w:type="paragraph" w:styleId="Style39">
    <w:name w:val="Контур красный"/>
    <w:basedOn w:val="Style36"/>
    <w:qFormat/>
    <w:pPr/>
    <w:rPr>
      <w:color w:val="C9211E"/>
    </w:rPr>
  </w:style>
  <w:style w:type="paragraph" w:styleId="Style40">
    <w:name w:val="Контур жёлтый"/>
    <w:basedOn w:val="Style36"/>
    <w:qFormat/>
    <w:pPr/>
    <w:rPr>
      <w:color w:val="B47804"/>
    </w:rPr>
  </w:style>
  <w:style w:type="paragraph" w:styleId="Style41">
    <w:name w:val="Линии"/>
    <w:basedOn w:val="Style29"/>
    <w:qFormat/>
    <w:pPr/>
    <w:rPr/>
  </w:style>
  <w:style w:type="paragraph" w:styleId="Style42">
    <w:name w:val="Стрелки"/>
    <w:basedOn w:val="Style41"/>
    <w:qFormat/>
    <w:pPr/>
    <w:rPr/>
  </w:style>
  <w:style w:type="paragraph" w:styleId="Style43">
    <w:name w:val="Штриховая линия"/>
    <w:basedOn w:val="Style41"/>
    <w:qFormat/>
    <w:pPr/>
    <w:rPr/>
  </w:style>
  <w:style w:type="paragraph" w:styleId="LTGliederung1">
    <w:name w:val="Титульный слайд~LT~Gliederung 1"/>
    <w:qFormat/>
    <w:pPr>
      <w:widowControl/>
      <w:suppressAutoHyphens w:val="true"/>
      <w:overflowPunct w:val="false"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color w:val="404040"/>
      <w:kern w:val="2"/>
      <w:sz w:val="40"/>
      <w:szCs w:val="24"/>
      <w:lang w:val="ru-RU" w:eastAsia="zh-CN" w:bidi="hi-IN"/>
    </w:rPr>
  </w:style>
  <w:style w:type="paragraph" w:styleId="LTGliederung2">
    <w:name w:val="Титульный слайд~LT~Gliederung 2"/>
    <w:basedOn w:val="LTGliederung1"/>
    <w:qFormat/>
    <w:pPr>
      <w:spacing w:before="227" w:after="0"/>
    </w:pPr>
    <w:rPr>
      <w:sz w:val="28"/>
    </w:rPr>
  </w:style>
  <w:style w:type="paragraph" w:styleId="LTGliederung3">
    <w:name w:val="Титульный слайд~LT~Gliederung 3"/>
    <w:basedOn w:val="LTGliederung2"/>
    <w:qFormat/>
    <w:pPr>
      <w:spacing w:before="170" w:after="0"/>
    </w:pPr>
    <w:rPr/>
  </w:style>
  <w:style w:type="paragraph" w:styleId="LTGliederung4">
    <w:name w:val="Титульный слайд~LT~Gliederung 4"/>
    <w:basedOn w:val="LTGliederung3"/>
    <w:qFormat/>
    <w:pPr>
      <w:spacing w:before="113" w:after="0"/>
    </w:pPr>
    <w:rPr/>
  </w:style>
  <w:style w:type="paragraph" w:styleId="LTGliederung5">
    <w:name w:val="Титульный слайд~LT~Gliederung 5"/>
    <w:basedOn w:val="LTGliederung4"/>
    <w:qFormat/>
    <w:pPr>
      <w:spacing w:before="57" w:after="0"/>
    </w:pPr>
    <w:rPr>
      <w:sz w:val="40"/>
    </w:rPr>
  </w:style>
  <w:style w:type="paragraph" w:styleId="LTGliederung6">
    <w:name w:val="Титульный слайд~LT~Gliederung 6"/>
    <w:basedOn w:val="LTGliederung5"/>
    <w:qFormat/>
    <w:pPr/>
    <w:rPr/>
  </w:style>
  <w:style w:type="paragraph" w:styleId="LTGliederung7">
    <w:name w:val="Титульный слайд~LT~Gliederung 7"/>
    <w:basedOn w:val="LTGliederung6"/>
    <w:qFormat/>
    <w:pPr/>
    <w:rPr/>
  </w:style>
  <w:style w:type="paragraph" w:styleId="LTGliederung8">
    <w:name w:val="Титульный слайд~LT~Gliederung 8"/>
    <w:basedOn w:val="LTGliederung7"/>
    <w:qFormat/>
    <w:pPr/>
    <w:rPr/>
  </w:style>
  <w:style w:type="paragraph" w:styleId="LTGliederung9">
    <w:name w:val="Титульный слайд~LT~Gliederung 9"/>
    <w:basedOn w:val="LTGliederung8"/>
    <w:qFormat/>
    <w:pPr/>
    <w:rPr/>
  </w:style>
  <w:style w:type="paragraph" w:styleId="LTTitel">
    <w:name w:val="Титульный слайд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000000"/>
      <w:kern w:val="2"/>
      <w:sz w:val="36"/>
      <w:szCs w:val="24"/>
      <w:lang w:val="ru-RU" w:eastAsia="zh-CN" w:bidi="hi-IN"/>
    </w:rPr>
  </w:style>
  <w:style w:type="paragraph" w:styleId="LTUntertitel">
    <w:name w:val="Титульный слайд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color w:val="auto"/>
      <w:kern w:val="2"/>
      <w:sz w:val="64"/>
      <w:szCs w:val="24"/>
      <w:lang w:val="ru-RU" w:eastAsia="zh-CN" w:bidi="hi-IN"/>
    </w:rPr>
  </w:style>
  <w:style w:type="paragraph" w:styleId="LTNotizen">
    <w:name w:val="Титульный слайд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lang w:val="ru-RU" w:eastAsia="zh-CN" w:bidi="hi-IN"/>
    </w:rPr>
  </w:style>
  <w:style w:type="paragraph" w:styleId="LTHintergrundobjekte">
    <w:name w:val="Титульный слайд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LTHintergrund">
    <w:name w:val="Титульный слайд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/>
    <w:rPr/>
  </w:style>
  <w:style w:type="paragraph" w:styleId="Gray2">
    <w:name w:val="gray2"/>
    <w:basedOn w:val="Default"/>
    <w:qFormat/>
    <w:pPr/>
    <w:rPr/>
  </w:style>
  <w:style w:type="paragraph" w:styleId="Gray3">
    <w:name w:val="gray3"/>
    <w:basedOn w:val="Default"/>
    <w:qFormat/>
    <w:pPr/>
    <w:rPr/>
  </w:style>
  <w:style w:type="paragraph" w:styleId="Bw1">
    <w:name w:val="bw1"/>
    <w:basedOn w:val="Default"/>
    <w:qFormat/>
    <w:pPr/>
    <w:rPr/>
  </w:style>
  <w:style w:type="paragraph" w:styleId="Bw2">
    <w:name w:val="bw2"/>
    <w:basedOn w:val="Default"/>
    <w:qFormat/>
    <w:pPr/>
    <w:rPr/>
  </w:style>
  <w:style w:type="paragraph" w:styleId="Bw3">
    <w:name w:val="bw3"/>
    <w:basedOn w:val="Default"/>
    <w:qFormat/>
    <w:pPr/>
    <w:rPr/>
  </w:style>
  <w:style w:type="paragraph" w:styleId="Orange1">
    <w:name w:val="orange1"/>
    <w:basedOn w:val="Default"/>
    <w:qFormat/>
    <w:pPr/>
    <w:rPr/>
  </w:style>
  <w:style w:type="paragraph" w:styleId="Orange2">
    <w:name w:val="orange2"/>
    <w:basedOn w:val="Default"/>
    <w:qFormat/>
    <w:pPr/>
    <w:rPr/>
  </w:style>
  <w:style w:type="paragraph" w:styleId="Orange3">
    <w:name w:val="orange3"/>
    <w:basedOn w:val="Default"/>
    <w:qFormat/>
    <w:pPr/>
    <w:rPr/>
  </w:style>
  <w:style w:type="paragraph" w:styleId="Turquoise1">
    <w:name w:val="turquoise1"/>
    <w:basedOn w:val="Default"/>
    <w:qFormat/>
    <w:pPr/>
    <w:rPr/>
  </w:style>
  <w:style w:type="paragraph" w:styleId="Turquoise2">
    <w:name w:val="turquoise2"/>
    <w:basedOn w:val="Default"/>
    <w:qFormat/>
    <w:pPr/>
    <w:rPr/>
  </w:style>
  <w:style w:type="paragraph" w:styleId="Turquoise3">
    <w:name w:val="turquoise3"/>
    <w:basedOn w:val="Default"/>
    <w:qFormat/>
    <w:pPr/>
    <w:rPr/>
  </w:style>
  <w:style w:type="paragraph" w:styleId="Blue1">
    <w:name w:val="blue1"/>
    <w:basedOn w:val="Default"/>
    <w:qFormat/>
    <w:pPr/>
    <w:rPr/>
  </w:style>
  <w:style w:type="paragraph" w:styleId="Blue2">
    <w:name w:val="blue2"/>
    <w:basedOn w:val="Default"/>
    <w:qFormat/>
    <w:pPr/>
    <w:rPr/>
  </w:style>
  <w:style w:type="paragraph" w:styleId="Blue3">
    <w:name w:val="blue3"/>
    <w:basedOn w:val="Default"/>
    <w:qFormat/>
    <w:pPr/>
    <w:rPr/>
  </w:style>
  <w:style w:type="paragraph" w:styleId="Sun1">
    <w:name w:val="sun1"/>
    <w:basedOn w:val="Default"/>
    <w:qFormat/>
    <w:pPr/>
    <w:rPr/>
  </w:style>
  <w:style w:type="paragraph" w:styleId="Sun2">
    <w:name w:val="sun2"/>
    <w:basedOn w:val="Default"/>
    <w:qFormat/>
    <w:pPr/>
    <w:rPr/>
  </w:style>
  <w:style w:type="paragraph" w:styleId="Sun3">
    <w:name w:val="sun3"/>
    <w:basedOn w:val="Default"/>
    <w:qFormat/>
    <w:pPr/>
    <w:rPr/>
  </w:style>
  <w:style w:type="paragraph" w:styleId="Earth1">
    <w:name w:val="earth1"/>
    <w:basedOn w:val="Default"/>
    <w:qFormat/>
    <w:pPr/>
    <w:rPr/>
  </w:style>
  <w:style w:type="paragraph" w:styleId="Earth2">
    <w:name w:val="earth2"/>
    <w:basedOn w:val="Default"/>
    <w:qFormat/>
    <w:pPr/>
    <w:rPr/>
  </w:style>
  <w:style w:type="paragraph" w:styleId="Earth3">
    <w:name w:val="earth3"/>
    <w:basedOn w:val="Default"/>
    <w:qFormat/>
    <w:pPr/>
    <w:rPr/>
  </w:style>
  <w:style w:type="paragraph" w:styleId="Green1">
    <w:name w:val="green1"/>
    <w:basedOn w:val="Default"/>
    <w:qFormat/>
    <w:pPr/>
    <w:rPr/>
  </w:style>
  <w:style w:type="paragraph" w:styleId="Green2">
    <w:name w:val="green2"/>
    <w:basedOn w:val="Default"/>
    <w:qFormat/>
    <w:pPr/>
    <w:rPr/>
  </w:style>
  <w:style w:type="paragraph" w:styleId="Green3">
    <w:name w:val="green3"/>
    <w:basedOn w:val="Default"/>
    <w:qFormat/>
    <w:pPr/>
    <w:rPr/>
  </w:style>
  <w:style w:type="paragraph" w:styleId="Seetang1">
    <w:name w:val="seetang1"/>
    <w:basedOn w:val="Default"/>
    <w:qFormat/>
    <w:pPr/>
    <w:rPr/>
  </w:style>
  <w:style w:type="paragraph" w:styleId="Seetang2">
    <w:name w:val="seetang2"/>
    <w:basedOn w:val="Default"/>
    <w:qFormat/>
    <w:pPr/>
    <w:rPr/>
  </w:style>
  <w:style w:type="paragraph" w:styleId="Seetang3">
    <w:name w:val="seetang3"/>
    <w:basedOn w:val="Default"/>
    <w:qFormat/>
    <w:pPr/>
    <w:rPr/>
  </w:style>
  <w:style w:type="paragraph" w:styleId="Lightblue1">
    <w:name w:val="lightblue1"/>
    <w:basedOn w:val="Default"/>
    <w:qFormat/>
    <w:pPr/>
    <w:rPr/>
  </w:style>
  <w:style w:type="paragraph" w:styleId="Lightblue2">
    <w:name w:val="lightblue2"/>
    <w:basedOn w:val="Default"/>
    <w:qFormat/>
    <w:pPr/>
    <w:rPr/>
  </w:style>
  <w:style w:type="paragraph" w:styleId="Lightblue3">
    <w:name w:val="lightblue3"/>
    <w:basedOn w:val="Default"/>
    <w:qFormat/>
    <w:pPr/>
    <w:rPr/>
  </w:style>
  <w:style w:type="paragraph" w:styleId="Yellow1">
    <w:name w:val="yellow1"/>
    <w:basedOn w:val="Default"/>
    <w:qFormat/>
    <w:pPr/>
    <w:rPr/>
  </w:style>
  <w:style w:type="paragraph" w:styleId="Yellow2">
    <w:name w:val="yellow2"/>
    <w:basedOn w:val="Default"/>
    <w:qFormat/>
    <w:pPr/>
    <w:rPr/>
  </w:style>
  <w:style w:type="paragraph" w:styleId="Yellow3">
    <w:name w:val="yellow3"/>
    <w:basedOn w:val="Default"/>
    <w:qFormat/>
    <w:pPr/>
    <w:rPr/>
  </w:style>
  <w:style w:type="paragraph" w:styleId="Style44">
    <w:name w:val="Объекты фона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Style45">
    <w:name w:val="Фон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Style46">
    <w:name w:val="Примечания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lang w:val="ru-RU" w:eastAsia="zh-CN" w:bidi="hi-IN"/>
    </w:rPr>
  </w:style>
  <w:style w:type="paragraph" w:styleId="11">
    <w:name w:val="Структура 1"/>
    <w:qFormat/>
    <w:pPr>
      <w:widowControl/>
      <w:suppressAutoHyphens w:val="true"/>
      <w:overflowPunct w:val="false"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color w:val="404040"/>
      <w:kern w:val="2"/>
      <w:sz w:val="40"/>
      <w:szCs w:val="24"/>
      <w:lang w:val="ru-RU" w:eastAsia="zh-CN" w:bidi="hi-IN"/>
    </w:rPr>
  </w:style>
  <w:style w:type="paragraph" w:styleId="21">
    <w:name w:val="Структура 2"/>
    <w:basedOn w:val="11"/>
    <w:qFormat/>
    <w:pPr>
      <w:spacing w:before="227" w:after="0"/>
    </w:pPr>
    <w:rPr>
      <w:sz w:val="28"/>
    </w:rPr>
  </w:style>
  <w:style w:type="paragraph" w:styleId="3">
    <w:name w:val="Структура 3"/>
    <w:basedOn w:val="21"/>
    <w:qFormat/>
    <w:pPr>
      <w:spacing w:before="170" w:after="0"/>
    </w:pPr>
    <w:rPr/>
  </w:style>
  <w:style w:type="paragraph" w:styleId="43">
    <w:name w:val="Структура 4"/>
    <w:basedOn w:val="3"/>
    <w:qFormat/>
    <w:pPr>
      <w:spacing w:before="113" w:after="0"/>
    </w:pPr>
    <w:rPr/>
  </w:style>
  <w:style w:type="paragraph" w:styleId="5">
    <w:name w:val="Структура 5"/>
    <w:basedOn w:val="43"/>
    <w:qFormat/>
    <w:pPr>
      <w:spacing w:before="57" w:after="0"/>
    </w:pPr>
    <w:rPr>
      <w:sz w:val="40"/>
    </w:rPr>
  </w:style>
  <w:style w:type="paragraph" w:styleId="6">
    <w:name w:val="Структура 6"/>
    <w:basedOn w:val="5"/>
    <w:qFormat/>
    <w:pPr/>
    <w:rPr/>
  </w:style>
  <w:style w:type="paragraph" w:styleId="7">
    <w:name w:val="Структура 7"/>
    <w:basedOn w:val="6"/>
    <w:qFormat/>
    <w:pPr/>
    <w:rPr/>
  </w:style>
  <w:style w:type="paragraph" w:styleId="8">
    <w:name w:val="Структура 8"/>
    <w:basedOn w:val="7"/>
    <w:qFormat/>
    <w:pPr/>
    <w:rPr/>
  </w:style>
  <w:style w:type="paragraph" w:styleId="9">
    <w:name w:val="Структура 9"/>
    <w:basedOn w:val="8"/>
    <w:qFormat/>
    <w:pPr/>
    <w:rPr/>
  </w:style>
  <w:style w:type="paragraph" w:styleId="LTGliederung11">
    <w:name w:val="Заголовок и объект~LT~Gliederung 1"/>
    <w:qFormat/>
    <w:pPr>
      <w:widowControl/>
      <w:suppressAutoHyphens w:val="true"/>
      <w:overflowPunct w:val="false"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color w:val="404040"/>
      <w:kern w:val="2"/>
      <w:sz w:val="40"/>
      <w:szCs w:val="24"/>
      <w:lang w:val="ru-RU" w:eastAsia="zh-CN" w:bidi="hi-IN"/>
    </w:rPr>
  </w:style>
  <w:style w:type="paragraph" w:styleId="LTGliederung21">
    <w:name w:val="Заголовок и объект~LT~Gliederung 2"/>
    <w:basedOn w:val="LTGliederung11"/>
    <w:qFormat/>
    <w:pPr>
      <w:spacing w:before="227" w:after="0"/>
    </w:pPr>
    <w:rPr>
      <w:sz w:val="28"/>
    </w:rPr>
  </w:style>
  <w:style w:type="paragraph" w:styleId="LTGliederung31">
    <w:name w:val="Заголовок и объект~LT~Gliederung 3"/>
    <w:basedOn w:val="LTGliederung21"/>
    <w:qFormat/>
    <w:pPr>
      <w:spacing w:before="170" w:after="0"/>
    </w:pPr>
    <w:rPr/>
  </w:style>
  <w:style w:type="paragraph" w:styleId="LTGliederung41">
    <w:name w:val="Заголовок и объект~LT~Gliederung 4"/>
    <w:basedOn w:val="LTGliederung31"/>
    <w:qFormat/>
    <w:pPr>
      <w:spacing w:before="113" w:after="0"/>
    </w:pPr>
    <w:rPr/>
  </w:style>
  <w:style w:type="paragraph" w:styleId="LTGliederung51">
    <w:name w:val="Заголовок и объект~LT~Gliederung 5"/>
    <w:basedOn w:val="LTGliederung41"/>
    <w:qFormat/>
    <w:pPr>
      <w:spacing w:before="57" w:after="0"/>
    </w:pPr>
    <w:rPr>
      <w:sz w:val="40"/>
    </w:rPr>
  </w:style>
  <w:style w:type="paragraph" w:styleId="LTGliederung61">
    <w:name w:val="Заголовок и объект~LT~Gliederung 6"/>
    <w:basedOn w:val="LTGliederung51"/>
    <w:qFormat/>
    <w:pPr/>
    <w:rPr/>
  </w:style>
  <w:style w:type="paragraph" w:styleId="LTGliederung71">
    <w:name w:val="Заголовок и объект~LT~Gliederung 7"/>
    <w:basedOn w:val="LTGliederung61"/>
    <w:qFormat/>
    <w:pPr/>
    <w:rPr/>
  </w:style>
  <w:style w:type="paragraph" w:styleId="LTGliederung81">
    <w:name w:val="Заголовок и объект~LT~Gliederung 8"/>
    <w:basedOn w:val="LTGliederung71"/>
    <w:qFormat/>
    <w:pPr/>
    <w:rPr/>
  </w:style>
  <w:style w:type="paragraph" w:styleId="LTGliederung91">
    <w:name w:val="Заголовок и объект~LT~Gliederung 9"/>
    <w:basedOn w:val="LTGliederung81"/>
    <w:qFormat/>
    <w:pPr/>
    <w:rPr/>
  </w:style>
  <w:style w:type="paragraph" w:styleId="LTTitel1">
    <w:name w:val="Заголовок и объект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000000"/>
      <w:kern w:val="2"/>
      <w:sz w:val="36"/>
      <w:szCs w:val="24"/>
      <w:lang w:val="ru-RU" w:eastAsia="zh-CN" w:bidi="hi-IN"/>
    </w:rPr>
  </w:style>
  <w:style w:type="paragraph" w:styleId="LTUntertitel1">
    <w:name w:val="Заголовок и объект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color w:val="auto"/>
      <w:kern w:val="2"/>
      <w:sz w:val="64"/>
      <w:szCs w:val="24"/>
      <w:lang w:val="ru-RU" w:eastAsia="zh-CN" w:bidi="hi-IN"/>
    </w:rPr>
  </w:style>
  <w:style w:type="paragraph" w:styleId="LTNotizen1">
    <w:name w:val="Заголовок и объект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lang w:val="ru-RU" w:eastAsia="zh-CN" w:bidi="hi-IN"/>
    </w:rPr>
  </w:style>
  <w:style w:type="paragraph" w:styleId="LTHintergrundobjekte1">
    <w:name w:val="Заголовок и объект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LTHintergrund1">
    <w:name w:val="Заголовок и объект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LTGliederung12">
    <w:name w:val="Объект с подписью~LT~Gliederung 1"/>
    <w:qFormat/>
    <w:pPr>
      <w:widowControl/>
      <w:suppressAutoHyphens w:val="true"/>
      <w:overflowPunct w:val="false"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color w:val="404040"/>
      <w:kern w:val="2"/>
      <w:sz w:val="40"/>
      <w:szCs w:val="24"/>
      <w:lang w:val="ru-RU" w:eastAsia="zh-CN" w:bidi="hi-IN"/>
    </w:rPr>
  </w:style>
  <w:style w:type="paragraph" w:styleId="LTGliederung22">
    <w:name w:val="Объект с подписью~LT~Gliederung 2"/>
    <w:basedOn w:val="LTGliederung12"/>
    <w:qFormat/>
    <w:pPr>
      <w:spacing w:before="227" w:after="0"/>
    </w:pPr>
    <w:rPr>
      <w:sz w:val="28"/>
    </w:rPr>
  </w:style>
  <w:style w:type="paragraph" w:styleId="LTGliederung32">
    <w:name w:val="Объект с подписью~LT~Gliederung 3"/>
    <w:basedOn w:val="LTGliederung22"/>
    <w:qFormat/>
    <w:pPr>
      <w:spacing w:before="170" w:after="0"/>
    </w:pPr>
    <w:rPr/>
  </w:style>
  <w:style w:type="paragraph" w:styleId="LTGliederung42">
    <w:name w:val="Объект с подписью~LT~Gliederung 4"/>
    <w:basedOn w:val="LTGliederung32"/>
    <w:qFormat/>
    <w:pPr>
      <w:spacing w:before="113" w:after="0"/>
    </w:pPr>
    <w:rPr/>
  </w:style>
  <w:style w:type="paragraph" w:styleId="LTGliederung52">
    <w:name w:val="Объект с подписью~LT~Gliederung 5"/>
    <w:basedOn w:val="LTGliederung42"/>
    <w:qFormat/>
    <w:pPr>
      <w:spacing w:before="57" w:after="0"/>
    </w:pPr>
    <w:rPr>
      <w:sz w:val="40"/>
    </w:rPr>
  </w:style>
  <w:style w:type="paragraph" w:styleId="LTGliederung62">
    <w:name w:val="Объект с подписью~LT~Gliederung 6"/>
    <w:basedOn w:val="LTGliederung52"/>
    <w:qFormat/>
    <w:pPr/>
    <w:rPr/>
  </w:style>
  <w:style w:type="paragraph" w:styleId="LTGliederung72">
    <w:name w:val="Объект с подписью~LT~Gliederung 7"/>
    <w:basedOn w:val="LTGliederung62"/>
    <w:qFormat/>
    <w:pPr/>
    <w:rPr/>
  </w:style>
  <w:style w:type="paragraph" w:styleId="LTGliederung82">
    <w:name w:val="Объект с подписью~LT~Gliederung 8"/>
    <w:basedOn w:val="LTGliederung72"/>
    <w:qFormat/>
    <w:pPr/>
    <w:rPr/>
  </w:style>
  <w:style w:type="paragraph" w:styleId="LTGliederung92">
    <w:name w:val="Объект с подписью~LT~Gliederung 9"/>
    <w:basedOn w:val="LTGliederung82"/>
    <w:qFormat/>
    <w:pPr/>
    <w:rPr/>
  </w:style>
  <w:style w:type="paragraph" w:styleId="LTTitel2">
    <w:name w:val="Объект с подписью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000000"/>
      <w:kern w:val="2"/>
      <w:sz w:val="36"/>
      <w:szCs w:val="24"/>
      <w:lang w:val="ru-RU" w:eastAsia="zh-CN" w:bidi="hi-IN"/>
    </w:rPr>
  </w:style>
  <w:style w:type="paragraph" w:styleId="LTUntertitel2">
    <w:name w:val="Объект с подписью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color w:val="auto"/>
      <w:kern w:val="2"/>
      <w:sz w:val="64"/>
      <w:szCs w:val="24"/>
      <w:lang w:val="ru-RU" w:eastAsia="zh-CN" w:bidi="hi-IN"/>
    </w:rPr>
  </w:style>
  <w:style w:type="paragraph" w:styleId="LTNotizen2">
    <w:name w:val="Объект с подписью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lang w:val="ru-RU" w:eastAsia="zh-CN" w:bidi="hi-IN"/>
    </w:rPr>
  </w:style>
  <w:style w:type="paragraph" w:styleId="LTHintergrundobjekte2">
    <w:name w:val="Объект с подписью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LTHintergrund2">
    <w:name w:val="Объект с подписью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LTGliederung13">
    <w:name w:val="Пустой слайд~LT~Gliederung 1"/>
    <w:qFormat/>
    <w:pPr>
      <w:widowControl/>
      <w:suppressAutoHyphens w:val="true"/>
      <w:overflowPunct w:val="false"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color w:val="404040"/>
      <w:kern w:val="2"/>
      <w:sz w:val="40"/>
      <w:szCs w:val="24"/>
      <w:lang w:val="ru-RU" w:eastAsia="zh-CN" w:bidi="hi-IN"/>
    </w:rPr>
  </w:style>
  <w:style w:type="paragraph" w:styleId="LTGliederung23">
    <w:name w:val="Пустой слайд~LT~Gliederung 2"/>
    <w:basedOn w:val="LTGliederung13"/>
    <w:qFormat/>
    <w:pPr>
      <w:spacing w:before="227" w:after="0"/>
    </w:pPr>
    <w:rPr>
      <w:sz w:val="28"/>
    </w:rPr>
  </w:style>
  <w:style w:type="paragraph" w:styleId="LTGliederung33">
    <w:name w:val="Пустой слайд~LT~Gliederung 3"/>
    <w:basedOn w:val="LTGliederung23"/>
    <w:qFormat/>
    <w:pPr>
      <w:spacing w:before="170" w:after="0"/>
    </w:pPr>
    <w:rPr/>
  </w:style>
  <w:style w:type="paragraph" w:styleId="LTGliederung43">
    <w:name w:val="Пустой слайд~LT~Gliederung 4"/>
    <w:basedOn w:val="LTGliederung33"/>
    <w:qFormat/>
    <w:pPr>
      <w:spacing w:before="113" w:after="0"/>
    </w:pPr>
    <w:rPr/>
  </w:style>
  <w:style w:type="paragraph" w:styleId="LTGliederung53">
    <w:name w:val="Пустой слайд~LT~Gliederung 5"/>
    <w:basedOn w:val="LTGliederung43"/>
    <w:qFormat/>
    <w:pPr>
      <w:spacing w:before="57" w:after="0"/>
    </w:pPr>
    <w:rPr>
      <w:sz w:val="40"/>
    </w:rPr>
  </w:style>
  <w:style w:type="paragraph" w:styleId="LTGliederung63">
    <w:name w:val="Пустой слайд~LT~Gliederung 6"/>
    <w:basedOn w:val="LTGliederung53"/>
    <w:qFormat/>
    <w:pPr/>
    <w:rPr/>
  </w:style>
  <w:style w:type="paragraph" w:styleId="LTGliederung73">
    <w:name w:val="Пустой слайд~LT~Gliederung 7"/>
    <w:basedOn w:val="LTGliederung63"/>
    <w:qFormat/>
    <w:pPr/>
    <w:rPr/>
  </w:style>
  <w:style w:type="paragraph" w:styleId="LTGliederung83">
    <w:name w:val="Пустой слайд~LT~Gliederung 8"/>
    <w:basedOn w:val="LTGliederung73"/>
    <w:qFormat/>
    <w:pPr/>
    <w:rPr/>
  </w:style>
  <w:style w:type="paragraph" w:styleId="LTGliederung93">
    <w:name w:val="Пустой слайд~LT~Gliederung 9"/>
    <w:basedOn w:val="LTGliederung83"/>
    <w:qFormat/>
    <w:pPr/>
    <w:rPr/>
  </w:style>
  <w:style w:type="paragraph" w:styleId="LTTitel3">
    <w:name w:val="Пустой слайд~LT~Titel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000000"/>
      <w:kern w:val="2"/>
      <w:sz w:val="36"/>
      <w:szCs w:val="24"/>
      <w:lang w:val="ru-RU" w:eastAsia="zh-CN" w:bidi="hi-IN"/>
    </w:rPr>
  </w:style>
  <w:style w:type="paragraph" w:styleId="LTUntertitel3">
    <w:name w:val="Пустой слайд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Noto Sans"/>
      <w:color w:val="auto"/>
      <w:kern w:val="2"/>
      <w:sz w:val="64"/>
      <w:szCs w:val="24"/>
      <w:lang w:val="ru-RU" w:eastAsia="zh-CN" w:bidi="hi-IN"/>
    </w:rPr>
  </w:style>
  <w:style w:type="paragraph" w:styleId="LTNotizen3">
    <w:name w:val="Пустой слайд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Noto Sans"/>
      <w:color w:val="auto"/>
      <w:kern w:val="2"/>
      <w:sz w:val="40"/>
      <w:szCs w:val="24"/>
      <w:lang w:val="ru-RU" w:eastAsia="zh-CN" w:bidi="hi-IN"/>
    </w:rPr>
  </w:style>
  <w:style w:type="paragraph" w:styleId="LTHintergrundobjekte3">
    <w:name w:val="Пустой слайд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LTHintergrund3">
    <w:name w:val="Пустой слайд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TimesNewRoman">
    <w:name w:val="TimesNewRoman"/>
    <w:basedOn w:val="Normal"/>
    <w:qFormat/>
    <w:pPr/>
    <w:rPr/>
  </w:style>
  <w:style w:type="paragraph" w:styleId="Annotationtext">
    <w:name w:val="annotation text"/>
    <w:basedOn w:val="Normal"/>
    <w:qFormat/>
    <w:pPr>
      <w:spacing w:lineRule="auto" w:line="240"/>
    </w:pPr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Mangal"/>
      <w:sz w:val="16"/>
      <w:szCs w:val="14"/>
    </w:rPr>
  </w:style>
  <w:style w:type="paragraph" w:styleId="Style47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48">
    <w:name w:val="Header"/>
    <w:basedOn w:val="Style47"/>
    <w:pPr>
      <w:suppressLineNumbers/>
    </w:pPr>
    <w:rPr/>
  </w:style>
  <w:style w:type="paragraph" w:styleId="Style49">
    <w:name w:val="Содержимое врезки"/>
    <w:basedOn w:val="Normal"/>
    <w:qFormat/>
    <w:pPr/>
    <w:rPr/>
  </w:style>
  <w:style w:type="paragraph" w:styleId="Style5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factor.genexplain.com/cgi-bin/transfac_factor/getTF.cgi?AC=T08912" TargetMode="External"/><Relationship Id="rId5" Type="http://schemas.openxmlformats.org/officeDocument/2006/relationships/hyperlink" Target="https://jaspar.genereg.net/matrix/MA0595.1/?revcomp=0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www.ncbi.nlm.nih.gov/gene/6720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www.ncbi.nlm.nih.gov/nuccore" TargetMode="External"/><Relationship Id="rId13" Type="http://schemas.openxmlformats.org/officeDocument/2006/relationships/hyperlink" Target="https://www.ncbi.nlm.nih.gov/nuccore/NC_000077.7?report=fasta&amp;from=60089910&amp;to=60113407&amp;strand=true" TargetMode="External"/><Relationship Id="rId14" Type="http://schemas.openxmlformats.org/officeDocument/2006/relationships/hyperlink" Target="https://www.ncbi.nlm.nih.gov/nuccore/NC_052545.1?report=fasta&amp;from=4914681&amp;to=4926727&amp;strand=true" TargetMode="External"/><Relationship Id="rId15" Type="http://schemas.openxmlformats.org/officeDocument/2006/relationships/hyperlink" Target="https://www.ncbi.nlm.nih.gov/nuccore/NC_030826.1?report=fasta&amp;from=34288792&amp;to=34295549" TargetMode="External"/><Relationship Id="rId16" Type="http://schemas.openxmlformats.org/officeDocument/2006/relationships/hyperlink" Target="https://www.ncbi.nlm.nih.gov/nuccore/NC_036896.1?report=fasta&amp;from=33944239&amp;to=33970720" TargetMode="External"/><Relationship Id="rId17" Type="http://schemas.openxmlformats.org/officeDocument/2006/relationships/hyperlink" Target="https://www.ncbi.nlm.nih.gov/nuccore/NC_007114.7?report=fasta&amp;from=62061261&amp;to=62087346&amp;strand=true" TargetMode="External"/><Relationship Id="rId18" Type="http://schemas.openxmlformats.org/officeDocument/2006/relationships/hyperlink" Target="https://www.megasoftware.net/" TargetMode="External"/><Relationship Id="rId19" Type="http://schemas.openxmlformats.org/officeDocument/2006/relationships/image" Target="media/image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5</Pages>
  <Words>655</Words>
  <Characters>5355</Characters>
  <CharactersWithSpaces>5894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2021-12-05T21:35:00Z</dcterms:created>
  <dc:creator>Prof.</dc:creator>
  <dc:description/>
  <dc:language>ru-RU</dc:language>
  <cp:lastModifiedBy/>
  <dcterms:modified xsi:type="dcterms:W3CDTF">2021-12-08T00:10:19Z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