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15.png" ContentType="image/png"/>
  <Override PartName="/word/media/image14.png" ContentType="image/png"/>
  <Override PartName="/word/media/image2.jpeg" ContentType="image/jpeg"/>
  <Override PartName="/word/media/image3.png" ContentType="image/png"/>
  <Override PartName="/word/media/image4.png" ContentType="image/png"/>
  <Override PartName="/word/media/image13.jpeg" ContentType="image/jpeg"/>
  <Override PartName="/word/media/image6.png" ContentType="image/png"/>
  <Override PartName="/word/media/image12.jpeg" ContentType="image/jpeg"/>
  <Override PartName="/word/media/image1.jpeg" ContentType="image/jpeg"/>
  <Override PartName="/word/media/image7.png" ContentType="image/png"/>
  <Override PartName="/word/media/image8.png" ContentType="image/png"/>
  <Override PartName="/word/media/image11.jpeg" ContentType="image/jpeg"/>
  <Override PartName="/word/media/image9.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uto" w:line="240"/>
        <w:ind w:hanging="0"/>
        <w:jc w:val="center"/>
        <w:rPr>
          <w:rFonts w:eastAsia="Calibri"/>
          <w:b/>
          <w:b/>
          <w:color w:val="000000"/>
        </w:rPr>
      </w:pPr>
      <w:bookmarkStart w:id="0" w:name="_GoBack"/>
      <w:bookmarkEnd w:id="0"/>
      <w:r>
        <w:rPr>
          <w:rFonts w:eastAsia="Calibri"/>
          <w:b/>
          <w:color w:val="000000"/>
        </w:rPr>
        <w:t>федеральное государственное автономное образовательное учреждение высшего образования</w:t>
      </w:r>
    </w:p>
    <w:p>
      <w:pPr>
        <w:pStyle w:val="Normal"/>
        <w:widowControl w:val="false"/>
        <w:spacing w:lineRule="auto" w:line="240"/>
        <w:ind w:hanging="0"/>
        <w:jc w:val="center"/>
        <w:rPr>
          <w:rFonts w:eastAsia="Calibri"/>
          <w:b/>
          <w:b/>
          <w:color w:val="000000"/>
        </w:rPr>
      </w:pPr>
      <w:r>
        <w:rPr>
          <w:rFonts w:eastAsia="Calibri"/>
          <w:b/>
          <w:color w:val="000000"/>
        </w:rPr>
        <w:t>ПЕРВЫЙ МОСКОВСКИЙ ГОСУДАРСТВЕННЫЙ МЕДИЦИНСКИЙ УНИВЕРСИТЕТ имени И.М. СЕЧЕНОВА</w:t>
      </w:r>
    </w:p>
    <w:p>
      <w:pPr>
        <w:pStyle w:val="Normal"/>
        <w:widowControl w:val="false"/>
        <w:spacing w:lineRule="auto" w:line="240"/>
        <w:ind w:hanging="0"/>
        <w:jc w:val="center"/>
        <w:rPr>
          <w:rFonts w:eastAsia="Calibri"/>
          <w:b/>
          <w:b/>
          <w:color w:val="000000"/>
        </w:rPr>
      </w:pPr>
      <w:r>
        <w:rPr>
          <w:rFonts w:eastAsia="Calibri"/>
          <w:b/>
          <w:color w:val="000000"/>
        </w:rPr>
        <w:t>Министерства здравоохранения Российской Федерации</w:t>
      </w:r>
    </w:p>
    <w:p>
      <w:pPr>
        <w:pStyle w:val="Normal"/>
        <w:widowControl w:val="false"/>
        <w:spacing w:lineRule="auto" w:line="240"/>
        <w:ind w:hanging="0"/>
        <w:jc w:val="center"/>
        <w:rPr>
          <w:rFonts w:eastAsia="Calibri"/>
          <w:b/>
          <w:b/>
          <w:color w:val="000000"/>
        </w:rPr>
      </w:pPr>
      <w:r>
        <w:rPr>
          <w:rFonts w:eastAsia="Calibri"/>
          <w:b/>
          <w:color w:val="000000"/>
        </w:rPr>
        <w:t>(Сеченовский Университет)</w:t>
      </w:r>
    </w:p>
    <w:p>
      <w:pPr>
        <w:pStyle w:val="Normal"/>
        <w:widowControl w:val="false"/>
        <w:spacing w:lineRule="auto" w:line="240"/>
        <w:ind w:hanging="0"/>
        <w:jc w:val="center"/>
        <w:rPr>
          <w:rFonts w:eastAsia="Calibri"/>
          <w:b/>
          <w:b/>
          <w:color w:val="000000"/>
        </w:rPr>
      </w:pPr>
      <w:r>
        <w:rPr>
          <w:rFonts w:eastAsia="Calibri"/>
          <w:b/>
          <w:color w:val="000000"/>
        </w:rPr>
      </w:r>
    </w:p>
    <w:p>
      <w:pPr>
        <w:pStyle w:val="Normal"/>
        <w:widowControl w:val="false"/>
        <w:spacing w:lineRule="auto" w:line="240"/>
        <w:ind w:hanging="0"/>
        <w:jc w:val="center"/>
        <w:rPr>
          <w:rFonts w:eastAsia="Calibri"/>
          <w:color w:val="000000"/>
        </w:rPr>
      </w:pPr>
      <w:r>
        <w:rPr>
          <w:rFonts w:eastAsia="Calibri"/>
          <w:b/>
          <w:color w:val="000000"/>
        </w:rPr>
        <w:t xml:space="preserve">Институт фармации им. А.П. Нелюбина </w:t>
      </w:r>
    </w:p>
    <w:p>
      <w:pPr>
        <w:pStyle w:val="Normal"/>
        <w:widowControl w:val="false"/>
        <w:spacing w:lineRule="auto" w:line="240"/>
        <w:ind w:hanging="0"/>
        <w:jc w:val="center"/>
        <w:rPr>
          <w:rFonts w:eastAsia="Calibri"/>
          <w:b/>
          <w:b/>
          <w:color w:val="000000"/>
        </w:rPr>
      </w:pPr>
      <w:r>
        <w:rPr>
          <w:rFonts w:eastAsia="Calibri"/>
          <w:b/>
          <w:color w:val="000000"/>
        </w:rPr>
        <w:t>Кафедра биотехнологии</w:t>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ascii="Times New Roman" w:hAnsi="Times New Roman" w:eastAsia="Calibri" w:cs="Times New Roman"/>
          <w:b/>
          <w:b/>
          <w:color w:val="000000"/>
          <w:sz w:val="28"/>
          <w:szCs w:val="28"/>
        </w:rPr>
      </w:pPr>
      <w:r>
        <w:rPr>
          <w:rFonts w:eastAsia="Calibri" w:cs="Times New Roman"/>
          <w:b/>
          <w:color w:val="000000"/>
          <w:sz w:val="28"/>
          <w:szCs w:val="28"/>
        </w:rPr>
        <w:t>Гориченко Иван Вадимович</w:t>
      </w:r>
    </w:p>
    <w:p>
      <w:pPr>
        <w:pStyle w:val="Normal"/>
        <w:widowControl w:val="false"/>
        <w:spacing w:lineRule="auto" w:line="240"/>
        <w:ind w:hanging="0"/>
        <w:jc w:val="center"/>
        <w:rPr>
          <w:rFonts w:eastAsia="Calibri"/>
          <w:color w:val="000000"/>
        </w:rPr>
      </w:pPr>
      <w:r>
        <w:rPr>
          <w:rFonts w:eastAsia="Calibri"/>
          <w:color w:val="000000"/>
        </w:rPr>
        <w:t>студент 5 курса 09-01 группы</w:t>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b/>
          <w:b/>
          <w:color w:val="000000"/>
        </w:rPr>
      </w:pPr>
      <w:r>
        <w:rPr>
          <w:rFonts w:eastAsia="Calibri"/>
          <w:b/>
          <w:bCs/>
          <w:color w:val="000000"/>
        </w:rPr>
        <w:t>Исследование генных сетей, ассоциированных с семейной гиперхолестеринемией, с помощью онлайн-инструментов биоинформатики</w:t>
      </w:r>
    </w:p>
    <w:p>
      <w:pPr>
        <w:pStyle w:val="Normal"/>
        <w:widowControl w:val="false"/>
        <w:spacing w:lineRule="auto" w:line="240"/>
        <w:ind w:hanging="0"/>
        <w:jc w:val="center"/>
        <w:rPr>
          <w:rFonts w:eastAsia="Calibri"/>
          <w:color w:val="000000"/>
        </w:rPr>
      </w:pPr>
      <w:r>
        <w:rPr>
          <w:rFonts w:eastAsia="Calibri"/>
          <w:color w:val="000000"/>
        </w:rPr>
      </w:r>
    </w:p>
    <w:p>
      <w:pPr>
        <w:pStyle w:val="Normal"/>
        <w:widowControl w:val="false"/>
        <w:spacing w:lineRule="auto" w:line="240"/>
        <w:ind w:hanging="0"/>
        <w:jc w:val="center"/>
        <w:rPr>
          <w:rFonts w:eastAsia="Calibri"/>
          <w:b/>
          <w:b/>
          <w:color w:val="000000"/>
        </w:rPr>
      </w:pPr>
      <w:r>
        <w:rPr>
          <w:rFonts w:eastAsia="Calibri"/>
          <w:b/>
          <w:color w:val="000000"/>
        </w:rPr>
        <w:t>ДИПЛОМНАЯ РАБОТА</w:t>
      </w:r>
    </w:p>
    <w:p>
      <w:pPr>
        <w:pStyle w:val="Normal"/>
        <w:widowControl w:val="false"/>
        <w:spacing w:lineRule="auto" w:line="240"/>
        <w:ind w:hanging="0"/>
        <w:jc w:val="center"/>
        <w:rPr>
          <w:rFonts w:eastAsia="Calibri"/>
          <w:color w:val="000000"/>
        </w:rPr>
      </w:pPr>
      <w:r>
        <w:rPr>
          <w:rFonts w:eastAsia="Calibri"/>
          <w:color w:val="000000"/>
        </w:rPr>
        <w:t xml:space="preserve">по направлению подготовки (специальности) </w:t>
      </w:r>
    </w:p>
    <w:p>
      <w:pPr>
        <w:pStyle w:val="Normal"/>
        <w:widowControl w:val="false"/>
        <w:spacing w:lineRule="auto" w:line="240"/>
        <w:ind w:hanging="0"/>
        <w:jc w:val="center"/>
        <w:rPr>
          <w:rFonts w:eastAsia="Calibri"/>
          <w:color w:val="000000"/>
        </w:rPr>
      </w:pPr>
      <w:r>
        <w:rPr>
          <w:rFonts w:eastAsia="Calibri"/>
          <w:color w:val="000000"/>
        </w:rPr>
        <w:t>06.05.01 Биоинженерия и биоинформатика</w:t>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t>МОСКВА</w:t>
      </w:r>
    </w:p>
    <w:p>
      <w:pPr>
        <w:pStyle w:val="Normal"/>
        <w:widowControl w:val="false"/>
        <w:spacing w:lineRule="auto" w:line="240" w:before="0" w:after="0"/>
        <w:ind w:hanging="0"/>
        <w:jc w:val="center"/>
        <w:rPr>
          <w:rFonts w:eastAsia="Calibri"/>
          <w:color w:val="000000"/>
        </w:rPr>
      </w:pPr>
      <w:r>
        <w:rPr>
          <w:rFonts w:eastAsia="Calibri"/>
          <w:color w:val="000000"/>
        </w:rPr>
        <w:t>20</w:t>
      </w:r>
      <w:r>
        <w:rPr>
          <w:rFonts w:eastAsia="Calibri"/>
          <w:color w:val="000000"/>
        </w:rPr>
        <w:t>23</w:t>
      </w:r>
      <w:r>
        <w:br w:type="page"/>
      </w:r>
    </w:p>
    <w:p>
      <w:pPr>
        <w:pStyle w:val="Normal"/>
        <w:widowControl w:val="false"/>
        <w:spacing w:lineRule="auto" w:line="240"/>
        <w:rPr>
          <w:rFonts w:eastAsia="Calibri"/>
          <w:color w:val="000000"/>
        </w:rPr>
      </w:pPr>
      <w:r>
        <w:rPr/>
      </w:r>
    </w:p>
    <w:p>
      <w:pPr>
        <w:pStyle w:val="Normal"/>
        <w:widowControl w:val="false"/>
        <w:spacing w:lineRule="auto" w:line="240"/>
        <w:rPr>
          <w:rFonts w:eastAsia="Calibri"/>
          <w:color w:val="000000"/>
        </w:rPr>
      </w:pPr>
      <w:r>
        <w:rPr>
          <w:rFonts w:eastAsia="Calibri"/>
          <w:color w:val="000000"/>
        </w:rPr>
        <w:t xml:space="preserve">Работа выполнена в </w:t>
      </w:r>
      <w:r>
        <w:rPr>
          <w:rFonts w:eastAsia="Calibri"/>
          <w:color w:val="000000"/>
        </w:rPr>
        <w:t xml:space="preserve">ФГАОУ ВО Первый МГМУ имени И.М. Сеченова Минздрава России (Сеченовский Университет) </w:t>
      </w:r>
      <w:r>
        <w:rPr>
          <w:rFonts w:eastAsia="Calibri"/>
          <w:color w:val="000000"/>
        </w:rPr>
        <w:t xml:space="preserve">на кафедре биотехнологии и </w:t>
      </w:r>
    </w:p>
    <w:p>
      <w:pPr>
        <w:pStyle w:val="Normal"/>
        <w:widowControl w:val="false"/>
        <w:spacing w:lineRule="auto" w:line="240"/>
        <w:rPr>
          <w:color w:val="000000"/>
        </w:rPr>
      </w:pPr>
      <w:r>
        <w:rPr>
          <w:rFonts w:eastAsia="Calibri" w:cs="Times New Roman"/>
          <w:color w:val="000000"/>
          <w:sz w:val="28"/>
          <w:szCs w:val="28"/>
        </w:rPr>
        <w:t>к</w:t>
      </w:r>
      <w:r>
        <w:rPr>
          <w:rFonts w:eastAsia="Calibri"/>
          <w:color w:val="000000"/>
        </w:rPr>
        <w:t>афедр</w:t>
      </w:r>
      <w:r>
        <w:rPr>
          <w:rFonts w:eastAsia="Calibri" w:cs="Times New Roman"/>
          <w:color w:val="000000"/>
          <w:sz w:val="28"/>
          <w:szCs w:val="28"/>
        </w:rPr>
        <w:t xml:space="preserve">е </w:t>
      </w:r>
      <w:r>
        <w:rPr>
          <w:rFonts w:eastAsia="Calibri"/>
          <w:color w:val="000000"/>
        </w:rPr>
        <w:t>информационных и интернет-технологий ИЦМ.</w:t>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t>зав. кафедрой биотехнологии,</w:t>
      </w:r>
    </w:p>
    <w:p>
      <w:pPr>
        <w:pStyle w:val="Normal"/>
        <w:widowControl w:val="false"/>
        <w:spacing w:lineRule="auto" w:line="240" w:before="0" w:after="0"/>
        <w:ind w:hanging="0"/>
        <w:rPr>
          <w:rFonts w:eastAsia="Calibri"/>
          <w:color w:val="000000"/>
        </w:rPr>
      </w:pPr>
      <w:r>
        <w:rPr>
          <w:rFonts w:eastAsia="Calibri"/>
          <w:color w:val="000000"/>
        </w:rPr>
        <w:t>доктор биологических наук,</w:t>
      </w:r>
    </w:p>
    <w:p>
      <w:pPr>
        <w:pStyle w:val="Normal"/>
        <w:widowControl w:val="false"/>
        <w:spacing w:lineRule="auto" w:line="240" w:before="0" w:after="0"/>
        <w:ind w:hanging="0"/>
        <w:rPr>
          <w:rFonts w:eastAsia="Calibri"/>
          <w:color w:val="000000"/>
        </w:rPr>
      </w:pPr>
      <w:r>
        <w:rPr>
          <w:rFonts w:eastAsia="Calibri"/>
          <w:color w:val="000000"/>
        </w:rPr>
        <w:t>профессор</w:t>
        <w:tab/>
        <w:tab/>
        <w:tab/>
        <w:tab/>
        <w:tab/>
        <w:tab/>
        <w:tab/>
        <w:tab/>
        <w:tab/>
        <w:t>Луценко С.В.</w:t>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t>Научный руководитель дипломной работы:</w:t>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t>профессор РАН,</w:t>
      </w:r>
    </w:p>
    <w:p>
      <w:pPr>
        <w:pStyle w:val="Normal"/>
        <w:widowControl w:val="false"/>
        <w:spacing w:lineRule="auto" w:line="240" w:before="0" w:after="0"/>
        <w:ind w:hanging="0"/>
        <w:rPr>
          <w:rFonts w:eastAsia="Calibri"/>
          <w:color w:val="000000"/>
        </w:rPr>
      </w:pPr>
      <w:r>
        <w:rPr>
          <w:rFonts w:eastAsia="Calibri"/>
          <w:color w:val="000000"/>
        </w:rPr>
        <w:t xml:space="preserve">доктор </w:t>
      </w:r>
      <w:r>
        <w:rPr>
          <w:rFonts w:eastAsia="Calibri" w:cs="Times New Roman"/>
          <w:color w:val="000000"/>
          <w:sz w:val="28"/>
          <w:szCs w:val="28"/>
        </w:rPr>
        <w:t xml:space="preserve">биологических </w:t>
      </w:r>
      <w:r>
        <w:rPr>
          <w:rFonts w:eastAsia="Calibri"/>
          <w:color w:val="000000"/>
        </w:rPr>
        <w:t>наук</w:t>
        <w:tab/>
        <w:tab/>
        <w:tab/>
        <w:tab/>
        <w:tab/>
        <w:tab/>
        <w:t>Орлов Ю.Л.</w:t>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jc w:val="center"/>
        <w:rPr>
          <w:rFonts w:eastAsia="Calibri"/>
          <w:color w:val="000000"/>
        </w:rPr>
      </w:pPr>
      <w:r>
        <w:rPr>
          <w:rFonts w:eastAsia="Calibri"/>
          <w:color w:val="000000"/>
        </w:rPr>
      </w:r>
    </w:p>
    <w:p>
      <w:pPr>
        <w:pStyle w:val="Normal"/>
        <w:widowControl w:val="false"/>
        <w:spacing w:lineRule="auto" w:line="240" w:before="0" w:after="0"/>
        <w:ind w:hanging="0"/>
        <w:rPr>
          <w:rFonts w:eastAsia="Calibri"/>
          <w:color w:val="000000"/>
        </w:rPr>
      </w:pPr>
      <w:r>
        <w:rPr>
          <w:rFonts w:eastAsia="Calibri"/>
          <w:color w:val="000000"/>
        </w:rPr>
        <w:t xml:space="preserve">С дипломной работой можно ознакомиться на кафедре биотехнологии Института фармации им. А.П. Нелюбина Сеченовского университета по адресу: пр-т Вернадского, д. 96, корп. 1. </w:t>
      </w:r>
    </w:p>
    <w:sdt>
      <w:sdtPr>
        <w:docPartObj>
          <w:docPartGallery w:val="Table of Contents"/>
          <w:docPartUnique w:val="true"/>
        </w:docPartObj>
      </w:sdtPr>
      <w:sdtContent>
        <w:p>
          <w:pPr>
            <w:pStyle w:val="TOCHeading"/>
            <w:rPr/>
          </w:pPr>
          <w:r>
            <w:rPr/>
            <w:t>Оглавление</w:t>
          </w:r>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r>
            <w:fldChar w:fldCharType="begin"/>
          </w:r>
          <w:r>
            <w:rPr>
              <w:webHidden/>
              <w:rStyle w:val="IndexLink"/>
            </w:rPr>
            <w:instrText> TOC \z \o "1-3" \u \h</w:instrText>
          </w:r>
          <w:r>
            <w:rPr>
              <w:webHidden/>
              <w:rStyle w:val="IndexLink"/>
            </w:rPr>
            <w:fldChar w:fldCharType="separate"/>
          </w:r>
          <w:hyperlink w:anchor="_Toc31116470">
            <w:r>
              <w:rPr>
                <w:webHidden/>
                <w:rStyle w:val="IndexLink"/>
              </w:rPr>
              <w:t>ВВЕДЕНИЕ</w:t>
            </w:r>
            <w:r>
              <w:rPr>
                <w:webHidden/>
              </w:rPr>
              <w:fldChar w:fldCharType="begin"/>
            </w:r>
            <w:r>
              <w:rPr>
                <w:webHidden/>
              </w:rPr>
              <w:instrText>PAGEREF _Toc31116470 \h</w:instrText>
            </w:r>
            <w:r>
              <w:rPr>
                <w:webHidden/>
              </w:rPr>
              <w:fldChar w:fldCharType="separate"/>
            </w:r>
            <w:r>
              <w:rPr>
                <w:rStyle w:val="IndexLink"/>
                <w:vanish w:val="false"/>
              </w:rPr>
              <w:tab/>
              <w:t>4</w:t>
            </w:r>
            <w:r>
              <w:rPr>
                <w:webHidden/>
              </w:rPr>
              <w:fldChar w:fldCharType="end"/>
            </w:r>
          </w:hyperlink>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71">
            <w:r>
              <w:rPr>
                <w:webHidden/>
                <w:rStyle w:val="IndexLink"/>
              </w:rPr>
              <w:t>1. ОБЗОР ЛИТЕРАТУРЫ</w:t>
            </w:r>
            <w:r>
              <w:rPr>
                <w:webHidden/>
              </w:rPr>
              <w:fldChar w:fldCharType="begin"/>
            </w:r>
            <w:r>
              <w:rPr>
                <w:webHidden/>
              </w:rPr>
              <w:instrText>PAGEREF _Toc31116471 \h</w:instrText>
            </w:r>
            <w:r>
              <w:rPr>
                <w:webHidden/>
              </w:rPr>
              <w:fldChar w:fldCharType="separate"/>
            </w:r>
            <w:r>
              <w:rPr>
                <w:rStyle w:val="IndexLink"/>
                <w:vanish w:val="false"/>
              </w:rPr>
              <w:tab/>
              <w:t>6</w:t>
            </w:r>
            <w:r>
              <w:rPr>
                <w:webHidden/>
              </w:rPr>
              <w:fldChar w:fldCharType="end"/>
            </w:r>
          </w:hyperlink>
        </w:p>
        <w:p>
          <w:pPr>
            <w:pStyle w:val="Contents2"/>
            <w:spacing w:before="0" w:after="0"/>
            <w:contextualSpacing/>
            <w:rPr>
              <w:rFonts w:ascii="Calibri" w:hAnsi="Calibri" w:cs="" w:asciiTheme="minorHAnsi" w:cstheme="minorBidi" w:hAnsiTheme="minorHAnsi"/>
              <w:sz w:val="22"/>
              <w:szCs w:val="22"/>
            </w:rPr>
          </w:pPr>
          <w:hyperlink w:anchor="_Toc31116472">
            <w:r>
              <w:rPr>
                <w:webHidden/>
                <w:rStyle w:val="IndexLink"/>
              </w:rPr>
              <w:t>1.1. Заголовок</w:t>
            </w:r>
            <w:r>
              <w:rPr>
                <w:webHidden/>
              </w:rPr>
              <w:fldChar w:fldCharType="begin"/>
            </w:r>
            <w:r>
              <w:rPr>
                <w:webHidden/>
              </w:rPr>
              <w:instrText>PAGEREF _Toc31116472 \h</w:instrText>
            </w:r>
            <w:r>
              <w:rPr>
                <w:webHidden/>
              </w:rPr>
              <w:fldChar w:fldCharType="separate"/>
            </w:r>
            <w:r>
              <w:rPr>
                <w:rStyle w:val="IndexLink"/>
                <w:vanish w:val="false"/>
              </w:rPr>
              <w:tab/>
              <w:t>6</w:t>
            </w:r>
            <w:r>
              <w:rPr>
                <w:webHidden/>
              </w:rPr>
              <w:fldChar w:fldCharType="end"/>
            </w:r>
          </w:hyperlink>
        </w:p>
        <w:p>
          <w:pPr>
            <w:pStyle w:val="Contents3"/>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73">
            <w:r>
              <w:rPr>
                <w:webHidden/>
                <w:rStyle w:val="IndexLink"/>
              </w:rPr>
              <w:t>1.1. Подзаголовок</w:t>
            </w:r>
            <w:r>
              <w:rPr>
                <w:webHidden/>
              </w:rPr>
              <w:fldChar w:fldCharType="begin"/>
            </w:r>
            <w:r>
              <w:rPr>
                <w:webHidden/>
              </w:rPr>
              <w:instrText>PAGEREF _Toc31116473 \h</w:instrText>
            </w:r>
            <w:r>
              <w:rPr>
                <w:webHidden/>
              </w:rPr>
              <w:fldChar w:fldCharType="separate"/>
            </w:r>
            <w:r>
              <w:rPr>
                <w:rStyle w:val="IndexLink"/>
                <w:vanish w:val="false"/>
              </w:rPr>
              <w:tab/>
              <w:t>6</w:t>
            </w:r>
            <w:r>
              <w:rPr>
                <w:webHidden/>
              </w:rPr>
              <w:fldChar w:fldCharType="end"/>
            </w:r>
          </w:hyperlink>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74">
            <w:r>
              <w:rPr>
                <w:webHidden/>
                <w:rStyle w:val="IndexLink"/>
              </w:rPr>
              <w:t>2. МАТЕРИАЛЫ И МЕТОДЫ</w:t>
            </w:r>
            <w:r>
              <w:rPr>
                <w:webHidden/>
              </w:rPr>
              <w:fldChar w:fldCharType="begin"/>
            </w:r>
            <w:r>
              <w:rPr>
                <w:webHidden/>
              </w:rPr>
              <w:instrText>PAGEREF _Toc31116474 \h</w:instrText>
            </w:r>
            <w:r>
              <w:rPr>
                <w:webHidden/>
              </w:rPr>
              <w:fldChar w:fldCharType="separate"/>
            </w:r>
            <w:r>
              <w:rPr>
                <w:rStyle w:val="IndexLink"/>
                <w:vanish w:val="false"/>
              </w:rPr>
              <w:tab/>
              <w:t>8</w:t>
            </w:r>
            <w:r>
              <w:rPr>
                <w:webHidden/>
              </w:rPr>
              <w:fldChar w:fldCharType="end"/>
            </w:r>
          </w:hyperlink>
        </w:p>
        <w:p>
          <w:pPr>
            <w:pStyle w:val="Contents2"/>
            <w:spacing w:before="0" w:after="0"/>
            <w:contextualSpacing/>
            <w:rPr>
              <w:rFonts w:ascii="Calibri" w:hAnsi="Calibri" w:cs="" w:asciiTheme="minorHAnsi" w:cstheme="minorBidi" w:hAnsiTheme="minorHAnsi"/>
              <w:sz w:val="22"/>
              <w:szCs w:val="22"/>
            </w:rPr>
          </w:pPr>
          <w:hyperlink w:anchor="_Toc31116475">
            <w:r>
              <w:rPr>
                <w:webHidden/>
                <w:rStyle w:val="IndexLink"/>
              </w:rPr>
              <w:t>2.1. Материалы</w:t>
            </w:r>
            <w:r>
              <w:rPr>
                <w:webHidden/>
              </w:rPr>
              <w:fldChar w:fldCharType="begin"/>
            </w:r>
            <w:r>
              <w:rPr>
                <w:webHidden/>
              </w:rPr>
              <w:instrText>PAGEREF _Toc31116475 \h</w:instrText>
            </w:r>
            <w:r>
              <w:rPr>
                <w:webHidden/>
              </w:rPr>
              <w:fldChar w:fldCharType="separate"/>
            </w:r>
            <w:r>
              <w:rPr>
                <w:rStyle w:val="IndexLink"/>
                <w:vanish w:val="false"/>
              </w:rPr>
              <w:tab/>
              <w:t>8</w:t>
            </w:r>
            <w:r>
              <w:rPr>
                <w:webHidden/>
              </w:rPr>
              <w:fldChar w:fldCharType="end"/>
            </w:r>
          </w:hyperlink>
        </w:p>
        <w:p>
          <w:pPr>
            <w:pStyle w:val="Contents3"/>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76">
            <w:r>
              <w:rPr>
                <w:webHidden/>
                <w:rStyle w:val="IndexLink"/>
              </w:rPr>
              <w:t>2.1.1. Ферменты и реактивы</w:t>
            </w:r>
            <w:r>
              <w:rPr>
                <w:webHidden/>
              </w:rPr>
              <w:fldChar w:fldCharType="begin"/>
            </w:r>
            <w:r>
              <w:rPr>
                <w:webHidden/>
              </w:rPr>
              <w:instrText>PAGEREF _Toc31116476 \h</w:instrText>
            </w:r>
            <w:r>
              <w:rPr>
                <w:webHidden/>
              </w:rPr>
              <w:fldChar w:fldCharType="separate"/>
            </w:r>
            <w:r>
              <w:rPr>
                <w:rStyle w:val="IndexLink"/>
                <w:vanish w:val="false"/>
              </w:rPr>
              <w:tab/>
              <w:t>8</w:t>
            </w:r>
            <w:r>
              <w:rPr>
                <w:webHidden/>
              </w:rPr>
              <w:fldChar w:fldCharType="end"/>
            </w:r>
          </w:hyperlink>
        </w:p>
        <w:p>
          <w:pPr>
            <w:pStyle w:val="Contents3"/>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77">
            <w:r>
              <w:rPr>
                <w:webHidden/>
                <w:rStyle w:val="IndexLink"/>
              </w:rPr>
              <w:t>2.1.2. Биологические материалы</w:t>
            </w:r>
            <w:r>
              <w:rPr>
                <w:webHidden/>
              </w:rPr>
              <w:fldChar w:fldCharType="begin"/>
            </w:r>
            <w:r>
              <w:rPr>
                <w:webHidden/>
              </w:rPr>
              <w:instrText>PAGEREF _Toc31116477 \h</w:instrText>
            </w:r>
            <w:r>
              <w:rPr>
                <w:webHidden/>
              </w:rPr>
              <w:fldChar w:fldCharType="separate"/>
            </w:r>
            <w:r>
              <w:rPr>
                <w:rStyle w:val="IndexLink"/>
                <w:vanish w:val="false"/>
              </w:rPr>
              <w:tab/>
              <w:t>8</w:t>
            </w:r>
            <w:r>
              <w:rPr>
                <w:webHidden/>
              </w:rPr>
              <w:fldChar w:fldCharType="end"/>
            </w:r>
          </w:hyperlink>
        </w:p>
        <w:p>
          <w:pPr>
            <w:pStyle w:val="Contents2"/>
            <w:spacing w:before="0" w:after="0"/>
            <w:contextualSpacing/>
            <w:rPr>
              <w:rFonts w:ascii="Calibri" w:hAnsi="Calibri" w:cs="" w:asciiTheme="minorHAnsi" w:cstheme="minorBidi" w:hAnsiTheme="minorHAnsi"/>
              <w:sz w:val="22"/>
              <w:szCs w:val="22"/>
            </w:rPr>
          </w:pPr>
          <w:hyperlink w:anchor="_Toc31116478">
            <w:r>
              <w:rPr>
                <w:webHidden/>
                <w:rStyle w:val="IndexLink"/>
              </w:rPr>
              <w:t>2.2. Лабораторное оборудование</w:t>
            </w:r>
            <w:r>
              <w:rPr>
                <w:webHidden/>
              </w:rPr>
              <w:fldChar w:fldCharType="begin"/>
            </w:r>
            <w:r>
              <w:rPr>
                <w:webHidden/>
              </w:rPr>
              <w:instrText>PAGEREF _Toc31116478 \h</w:instrText>
            </w:r>
            <w:r>
              <w:rPr>
                <w:webHidden/>
              </w:rPr>
              <w:fldChar w:fldCharType="separate"/>
            </w:r>
            <w:r>
              <w:rPr>
                <w:rStyle w:val="IndexLink"/>
                <w:vanish w:val="false"/>
              </w:rPr>
              <w:tab/>
              <w:t>8</w:t>
            </w:r>
            <w:r>
              <w:rPr>
                <w:webHidden/>
              </w:rPr>
              <w:fldChar w:fldCharType="end"/>
            </w:r>
          </w:hyperlink>
        </w:p>
        <w:p>
          <w:pPr>
            <w:pStyle w:val="Contents2"/>
            <w:spacing w:before="0" w:after="0"/>
            <w:contextualSpacing/>
            <w:rPr>
              <w:rFonts w:ascii="Calibri" w:hAnsi="Calibri" w:cs="" w:asciiTheme="minorHAnsi" w:cstheme="minorBidi" w:hAnsiTheme="minorHAnsi"/>
              <w:sz w:val="22"/>
              <w:szCs w:val="22"/>
            </w:rPr>
          </w:pPr>
          <w:hyperlink w:anchor="_Toc31116479">
            <w:r>
              <w:rPr>
                <w:webHidden/>
                <w:rStyle w:val="IndexLink"/>
              </w:rPr>
              <w:t>2.2. Методы</w:t>
            </w:r>
            <w:r>
              <w:rPr>
                <w:webHidden/>
              </w:rPr>
              <w:fldChar w:fldCharType="begin"/>
            </w:r>
            <w:r>
              <w:rPr>
                <w:webHidden/>
              </w:rPr>
              <w:instrText>PAGEREF _Toc31116479 \h</w:instrText>
            </w:r>
            <w:r>
              <w:rPr>
                <w:webHidden/>
              </w:rPr>
              <w:fldChar w:fldCharType="separate"/>
            </w:r>
            <w:r>
              <w:rPr>
                <w:rStyle w:val="IndexLink"/>
                <w:vanish w:val="false"/>
              </w:rPr>
              <w:tab/>
              <w:t>9</w:t>
            </w:r>
            <w:r>
              <w:rPr>
                <w:webHidden/>
              </w:rPr>
              <w:fldChar w:fldCharType="end"/>
            </w:r>
          </w:hyperlink>
        </w:p>
        <w:p>
          <w:pPr>
            <w:pStyle w:val="Contents3"/>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80">
            <w:r>
              <w:rPr>
                <w:webHidden/>
                <w:rStyle w:val="IndexLink"/>
              </w:rPr>
              <w:t>2.2.1. Название метода</w:t>
            </w:r>
            <w:r>
              <w:rPr>
                <w:webHidden/>
              </w:rPr>
              <w:fldChar w:fldCharType="begin"/>
            </w:r>
            <w:r>
              <w:rPr>
                <w:webHidden/>
              </w:rPr>
              <w:instrText>PAGEREF _Toc31116480 \h</w:instrText>
            </w:r>
            <w:r>
              <w:rPr>
                <w:webHidden/>
              </w:rPr>
              <w:fldChar w:fldCharType="separate"/>
            </w:r>
            <w:r>
              <w:rPr>
                <w:rStyle w:val="IndexLink"/>
                <w:vanish w:val="false"/>
              </w:rPr>
              <w:tab/>
              <w:t>9</w:t>
            </w:r>
            <w:r>
              <w:rPr>
                <w:webHidden/>
              </w:rPr>
              <w:fldChar w:fldCharType="end"/>
            </w:r>
          </w:hyperlink>
        </w:p>
        <w:p>
          <w:pPr>
            <w:pStyle w:val="Contents3"/>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81">
            <w:r>
              <w:rPr>
                <w:webHidden/>
                <w:rStyle w:val="IndexLink"/>
              </w:rPr>
              <w:t>2.2.2. Название метода</w:t>
            </w:r>
            <w:r>
              <w:rPr>
                <w:webHidden/>
              </w:rPr>
              <w:fldChar w:fldCharType="begin"/>
            </w:r>
            <w:r>
              <w:rPr>
                <w:webHidden/>
              </w:rPr>
              <w:instrText>PAGEREF _Toc31116481 \h</w:instrText>
            </w:r>
            <w:r>
              <w:rPr>
                <w:webHidden/>
              </w:rPr>
              <w:fldChar w:fldCharType="separate"/>
            </w:r>
            <w:r>
              <w:rPr>
                <w:rStyle w:val="IndexLink"/>
                <w:vanish w:val="false"/>
              </w:rPr>
              <w:tab/>
              <w:t>10</w:t>
            </w:r>
            <w:r>
              <w:rPr>
                <w:webHidden/>
              </w:rPr>
              <w:fldChar w:fldCharType="end"/>
            </w:r>
          </w:hyperlink>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82">
            <w:r>
              <w:rPr>
                <w:webHidden/>
                <w:rStyle w:val="IndexLink"/>
              </w:rPr>
              <w:t>3. РЕЗУЛЬТАТЫ И ИХ ОБСУЖДЕНИЕ</w:t>
            </w:r>
            <w:r>
              <w:rPr>
                <w:webHidden/>
              </w:rPr>
              <w:fldChar w:fldCharType="begin"/>
            </w:r>
            <w:r>
              <w:rPr>
                <w:webHidden/>
              </w:rPr>
              <w:instrText>PAGEREF _Toc31116482 \h</w:instrText>
            </w:r>
            <w:r>
              <w:rPr>
                <w:webHidden/>
              </w:rPr>
              <w:fldChar w:fldCharType="separate"/>
            </w:r>
            <w:r>
              <w:rPr>
                <w:rStyle w:val="IndexLink"/>
                <w:vanish w:val="false"/>
              </w:rPr>
              <w:tab/>
              <w:t>11</w:t>
            </w:r>
            <w:r>
              <w:rPr>
                <w:webHidden/>
              </w:rPr>
              <w:fldChar w:fldCharType="end"/>
            </w:r>
          </w:hyperlink>
        </w:p>
        <w:p>
          <w:pPr>
            <w:pStyle w:val="Contents2"/>
            <w:spacing w:before="0" w:after="0"/>
            <w:contextualSpacing/>
            <w:rPr>
              <w:rFonts w:ascii="Calibri" w:hAnsi="Calibri" w:cs="" w:asciiTheme="minorHAnsi" w:cstheme="minorBidi" w:hAnsiTheme="minorHAnsi"/>
              <w:sz w:val="22"/>
              <w:szCs w:val="22"/>
            </w:rPr>
          </w:pPr>
          <w:hyperlink w:anchor="_Toc31116483">
            <w:r>
              <w:rPr>
                <w:webHidden/>
                <w:rStyle w:val="IndexLink"/>
              </w:rPr>
              <w:t>3.1. Заголовок</w:t>
            </w:r>
            <w:r>
              <w:rPr>
                <w:webHidden/>
              </w:rPr>
              <w:fldChar w:fldCharType="begin"/>
            </w:r>
            <w:r>
              <w:rPr>
                <w:webHidden/>
              </w:rPr>
              <w:instrText>PAGEREF _Toc31116483 \h</w:instrText>
            </w:r>
            <w:r>
              <w:rPr>
                <w:webHidden/>
              </w:rPr>
              <w:fldChar w:fldCharType="separate"/>
            </w:r>
            <w:r>
              <w:rPr>
                <w:rStyle w:val="IndexLink"/>
                <w:vanish w:val="false"/>
              </w:rPr>
              <w:tab/>
              <w:t>11</w:t>
            </w:r>
            <w:r>
              <w:rPr>
                <w:webHidden/>
              </w:rPr>
              <w:fldChar w:fldCharType="end"/>
            </w:r>
          </w:hyperlink>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84">
            <w:r>
              <w:rPr>
                <w:webHidden/>
                <w:rStyle w:val="IndexLink"/>
              </w:rPr>
              <w:t>ВЫВОДЫ</w:t>
            </w:r>
            <w:r>
              <w:rPr>
                <w:webHidden/>
              </w:rPr>
              <w:fldChar w:fldCharType="begin"/>
            </w:r>
            <w:r>
              <w:rPr>
                <w:webHidden/>
              </w:rPr>
              <w:instrText>PAGEREF _Toc31116484 \h</w:instrText>
            </w:r>
            <w:r>
              <w:rPr>
                <w:webHidden/>
              </w:rPr>
              <w:fldChar w:fldCharType="separate"/>
            </w:r>
            <w:r>
              <w:rPr>
                <w:rStyle w:val="IndexLink"/>
                <w:vanish w:val="false"/>
              </w:rPr>
              <w:tab/>
              <w:t>12</w:t>
            </w:r>
            <w:r>
              <w:rPr>
                <w:webHidden/>
              </w:rPr>
              <w:fldChar w:fldCharType="end"/>
            </w:r>
          </w:hyperlink>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85">
            <w:r>
              <w:rPr>
                <w:webHidden/>
                <w:rStyle w:val="IndexLink"/>
              </w:rPr>
              <w:t>СПИСОК ЛИТЕРАТУРЫ</w:t>
            </w:r>
            <w:r>
              <w:rPr>
                <w:webHidden/>
              </w:rPr>
              <w:fldChar w:fldCharType="begin"/>
            </w:r>
            <w:r>
              <w:rPr>
                <w:webHidden/>
              </w:rPr>
              <w:instrText>PAGEREF _Toc31116485 \h</w:instrText>
            </w:r>
            <w:r>
              <w:rPr>
                <w:webHidden/>
              </w:rPr>
              <w:fldChar w:fldCharType="separate"/>
            </w:r>
            <w:r>
              <w:rPr>
                <w:rStyle w:val="IndexLink"/>
                <w:vanish w:val="false"/>
              </w:rPr>
              <w:tab/>
              <w:t>13</w:t>
            </w:r>
            <w:r>
              <w:rPr>
                <w:webHidden/>
              </w:rPr>
              <w:fldChar w:fldCharType="end"/>
            </w:r>
          </w:hyperlink>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86">
            <w:r>
              <w:rPr>
                <w:webHidden/>
                <w:rStyle w:val="IndexLink"/>
                <w:rFonts w:eastAsia="Times New Roman"/>
                <w:shd w:fill="FFFFFF" w:val="clear"/>
              </w:rPr>
              <w:t>СПИСОК СОКРАЩЕНИЙ</w:t>
            </w:r>
            <w:r>
              <w:rPr>
                <w:webHidden/>
              </w:rPr>
              <w:fldChar w:fldCharType="begin"/>
            </w:r>
            <w:r>
              <w:rPr>
                <w:webHidden/>
              </w:rPr>
              <w:instrText>PAGEREF _Toc31116486 \h</w:instrText>
            </w:r>
            <w:r>
              <w:rPr>
                <w:webHidden/>
              </w:rPr>
              <w:fldChar w:fldCharType="separate"/>
            </w:r>
            <w:r>
              <w:rPr>
                <w:rStyle w:val="IndexLink"/>
                <w:vanish w:val="false"/>
              </w:rPr>
              <w:tab/>
              <w:t>14</w:t>
            </w:r>
            <w:r>
              <w:rPr>
                <w:webHidden/>
              </w:rPr>
              <w:fldChar w:fldCharType="end"/>
            </w:r>
          </w:hyperlink>
        </w:p>
        <w:p>
          <w:pPr>
            <w:pStyle w:val="Contents1"/>
            <w:tabs>
              <w:tab w:val="clear" w:pos="709"/>
              <w:tab w:val="right" w:pos="9911" w:leader="dot"/>
            </w:tabs>
            <w:spacing w:before="0" w:after="0"/>
            <w:contextualSpacing/>
            <w:rPr>
              <w:rFonts w:ascii="Calibri" w:hAnsi="Calibri" w:cs="" w:asciiTheme="minorHAnsi" w:cstheme="minorBidi" w:hAnsiTheme="minorHAnsi"/>
              <w:sz w:val="22"/>
              <w:szCs w:val="22"/>
            </w:rPr>
          </w:pPr>
          <w:hyperlink w:anchor="_Toc31116487">
            <w:r>
              <w:rPr>
                <w:webHidden/>
                <w:rStyle w:val="IndexLink"/>
              </w:rPr>
              <w:t>ПРИЛОЖЕНИЯ</w:t>
            </w:r>
            <w:r>
              <w:rPr>
                <w:webHidden/>
              </w:rPr>
              <w:fldChar w:fldCharType="begin"/>
            </w:r>
            <w:r>
              <w:rPr>
                <w:webHidden/>
              </w:rPr>
              <w:instrText>PAGEREF _Toc31116487 \h</w:instrText>
            </w:r>
            <w:r>
              <w:rPr>
                <w:webHidden/>
              </w:rPr>
              <w:fldChar w:fldCharType="separate"/>
            </w:r>
            <w:r>
              <w:rPr>
                <w:rStyle w:val="IndexLink"/>
                <w:vanish w:val="false"/>
              </w:rPr>
              <w:tab/>
              <w:t>15</w:t>
            </w:r>
            <w:r>
              <w:rPr>
                <w:webHidden/>
              </w:rPr>
              <w:fldChar w:fldCharType="end"/>
            </w:r>
          </w:hyperlink>
        </w:p>
        <w:p>
          <w:pPr>
            <w:pStyle w:val="Contents2"/>
            <w:spacing w:before="0" w:after="0"/>
            <w:contextualSpacing/>
            <w:rPr>
              <w:rFonts w:ascii="Calibri" w:hAnsi="Calibri" w:cs="" w:asciiTheme="minorHAnsi" w:cstheme="minorBidi" w:hAnsiTheme="minorHAnsi"/>
              <w:sz w:val="22"/>
              <w:szCs w:val="22"/>
            </w:rPr>
          </w:pPr>
          <w:hyperlink w:anchor="_Toc31116488">
            <w:r>
              <w:rPr>
                <w:webHidden/>
                <w:rStyle w:val="IndexLink"/>
              </w:rPr>
              <w:t>Приложение А</w:t>
            </w:r>
            <w:r>
              <w:rPr>
                <w:webHidden/>
              </w:rPr>
              <w:fldChar w:fldCharType="begin"/>
            </w:r>
            <w:r>
              <w:rPr>
                <w:webHidden/>
              </w:rPr>
              <w:instrText>PAGEREF _Toc31116488 \h</w:instrText>
            </w:r>
            <w:r>
              <w:rPr>
                <w:webHidden/>
              </w:rPr>
              <w:fldChar w:fldCharType="separate"/>
            </w:r>
            <w:r>
              <w:rPr>
                <w:rStyle w:val="IndexLink"/>
                <w:vanish w:val="false"/>
              </w:rPr>
              <w:tab/>
              <w:t>16</w:t>
            </w:r>
            <w:r>
              <w:rPr>
                <w:webHidden/>
              </w:rPr>
              <w:fldChar w:fldCharType="end"/>
            </w:r>
          </w:hyperlink>
        </w:p>
        <w:p>
          <w:pPr>
            <w:pStyle w:val="Contents2"/>
            <w:spacing w:before="0" w:after="0"/>
            <w:contextualSpacing/>
            <w:rPr>
              <w:rFonts w:ascii="Calibri" w:hAnsi="Calibri" w:cs="" w:asciiTheme="minorHAnsi" w:cstheme="minorBidi" w:hAnsiTheme="minorHAnsi"/>
              <w:sz w:val="22"/>
              <w:szCs w:val="22"/>
            </w:rPr>
          </w:pPr>
          <w:hyperlink w:anchor="_Toc31116489">
            <w:r>
              <w:rPr>
                <w:webHidden/>
                <w:rStyle w:val="IndexLink"/>
              </w:rPr>
              <w:t>Приложение Б</w:t>
            </w:r>
            <w:r>
              <w:rPr>
                <w:webHidden/>
              </w:rPr>
              <w:fldChar w:fldCharType="begin"/>
            </w:r>
            <w:r>
              <w:rPr>
                <w:webHidden/>
              </w:rPr>
              <w:instrText>PAGEREF _Toc31116489 \h</w:instrText>
            </w:r>
            <w:r>
              <w:rPr>
                <w:webHidden/>
              </w:rPr>
              <w:fldChar w:fldCharType="separate"/>
            </w:r>
            <w:r>
              <w:rPr>
                <w:rStyle w:val="IndexLink"/>
                <w:vanish w:val="false"/>
              </w:rPr>
              <w:tab/>
              <w:t>17</w:t>
            </w:r>
            <w:r>
              <w:rPr>
                <w:webHidden/>
              </w:rPr>
              <w:fldChar w:fldCharType="end"/>
            </w:r>
          </w:hyperlink>
        </w:p>
        <w:p>
          <w:pPr>
            <w:pStyle w:val="Normal"/>
            <w:rPr/>
          </w:pPr>
          <w:r>
            <w:rPr/>
          </w:r>
          <w:r>
            <w:rPr/>
            <w:fldChar w:fldCharType="end"/>
          </w:r>
        </w:p>
      </w:sdtContent>
    </w:sdt>
    <w:p>
      <w:pPr>
        <w:pStyle w:val="Normal"/>
        <w:rPr>
          <w:rFonts w:eastAsia="" w:eastAsiaTheme="majorEastAsia"/>
          <w:bCs/>
          <w:color w:val="365F91" w:themeColor="accent1" w:themeShade="bf"/>
        </w:rPr>
      </w:pPr>
      <w:r>
        <w:rPr/>
        <w:t xml:space="preserve"> </w:t>
      </w:r>
      <w:r>
        <w:br w:type="page"/>
      </w:r>
    </w:p>
    <w:p>
      <w:pPr>
        <w:pStyle w:val="Heading1"/>
        <w:rPr/>
      </w:pPr>
      <w:bookmarkStart w:id="1" w:name="_Toc31116470"/>
      <w:r>
        <w:rPr/>
        <w:t>ВВЕДЕНИЕ</w:t>
      </w:r>
      <w:bookmarkEnd w:id="1"/>
    </w:p>
    <w:p>
      <w:pPr>
        <w:pStyle w:val="Heading2"/>
        <w:rPr/>
      </w:pPr>
      <w:r>
        <w:rPr/>
        <w:t>1.1. Актуальность темы</w:t>
      </w:r>
    </w:p>
    <w:p>
      <w:pPr>
        <w:pStyle w:val="Normal"/>
        <w:rPr/>
      </w:pPr>
      <w:r>
        <w:rPr/>
        <w:t xml:space="preserve"> </w:t>
      </w:r>
      <w:r>
        <w:rPr/>
        <w:t>Генетические заболевания, такие как семейная гиперхолестеринемия, являются серьезн</w:t>
      </w:r>
      <w:r>
        <w:rPr>
          <w:rFonts w:cs="Times New Roman"/>
          <w:sz w:val="28"/>
          <w:szCs w:val="28"/>
        </w:rPr>
        <w:t>ой</w:t>
      </w:r>
      <w:r>
        <w:rPr/>
        <w:t xml:space="preserve"> медицинск</w:t>
      </w:r>
      <w:r>
        <w:rPr>
          <w:rFonts w:cs="Times New Roman"/>
          <w:sz w:val="28"/>
          <w:szCs w:val="28"/>
        </w:rPr>
        <w:t>ой</w:t>
      </w:r>
      <w:r>
        <w:rPr/>
        <w:t xml:space="preserve"> проблемой, требующей постоянного внимания и исследований.</w:t>
      </w:r>
    </w:p>
    <w:p>
      <w:pPr>
        <w:pStyle w:val="Normal"/>
        <w:rPr/>
      </w:pPr>
      <w:r>
        <w:rPr/>
        <w:t>Генетические заболевания – это большая проблема для медицины. В настоящее время существует множество генетических заболеваний, которые причиняют боль и страдания многим людям во всем мире. Одним из таких заболеваний является семейная гиперхолестеринемия. Эта болезнь представляет угрозу для жизни и здоровья пациентов, вызывая сердечно-сосудистые заболевания и повышенный риск преждевременной смерти.  Поэтому изучение генных сетей, связанных с этим заболеванием, является необходимостью для науки и медицины. Благодаря использованию биоинформатических инструментов и баз данных возможно получить более глубокое понимание механизмов заболевания и его проявлений у пациентов. Такое исследование сможет привести к более точной диагностике гиперхолестеринемии и более эффективным методам терапии.   Выявление генов, ответственных за семейную гиперхолестеринемию, открывает новые перспективы для исследования и лечения многих других генетических заболеваний. Более глубокое изучение генных сетей может показать нам новые пути для развития медицинских технологий и создания новых лекарственных препаратов.   Жизнь и здоровье людей должны быть главным приоритетом для науки и медицины. Поэтому исследование генных сетей, связанных с семейной гиперхолестеринемией, является неотъемлемой частью работы в этой области. Дальнейшие исследования в этом направлении могут дать нам надежду на более эффективные методы диагностики и лечения многих генетических заболеваний, что, в свою очередь, поможет улучшить качество жизни многих людей в мире.</w:t>
      </w:r>
    </w:p>
    <w:p>
      <w:pPr>
        <w:pStyle w:val="Normal"/>
        <w:rPr/>
      </w:pPr>
      <w:r>
        <w:rPr/>
        <w:t xml:space="preserve"> </w:t>
      </w:r>
      <w:r>
        <w:rPr/>
        <w:t>С помощью биоинформатических инструментов возможно изучение генных сетей, ассоциированных с этим заболеванием, что может привести к усовершенствованию методов диагностики и терапии.</w:t>
      </w:r>
    </w:p>
    <w:p>
      <w:pPr>
        <w:pStyle w:val="Normal"/>
        <w:rPr/>
      </w:pPr>
      <w:r>
        <w:rPr/>
        <w:t>С использованием биоинформатических инструментов имеется возможность проведения детального исследования генных сетей, связанных с семейной гиперхолестеринемией. Это открывает дорогу к более точной диагностике, разработке эффективных методов терапии и позволяет разобраться в сложных молекулярных взаимоотношениях и регуляторных механизмах в организме. Кроме этого, картирование таких генных сетей не только улучшает понимание механизмов возникновения и развития заболевания, но также может способствовать выявлению связанных с ним генетических мутаций и полиморфизмов, что является важным шагом в борьбе с болезнью. Благодаря возможностям биоинформатики, широкому спектру доступных методов и баз данных, исследователи и врачи могут получить больше информации о ген</w:t>
      </w:r>
      <w:r>
        <w:rPr>
          <w:rFonts w:cs="Times New Roman"/>
          <w:sz w:val="28"/>
          <w:szCs w:val="28"/>
        </w:rPr>
        <w:t>ах</w:t>
      </w:r>
      <w:r>
        <w:rPr/>
        <w:t>, связанных с семейной гиперхолестеринемией, выявить новые гены и мишени для лечения и улучшения диагностики и предотвращения развития заболевания в будущем.</w:t>
      </w:r>
    </w:p>
    <w:p>
      <w:pPr>
        <w:pStyle w:val="Normal"/>
        <w:ind w:hanging="0"/>
        <w:rPr/>
      </w:pPr>
      <w:r>
        <w:rPr/>
      </w:r>
    </w:p>
    <w:p>
      <w:pPr>
        <w:pStyle w:val="Heading2"/>
        <w:rPr/>
      </w:pPr>
      <w:r>
        <w:rPr/>
        <w:t>1.2. Цель и задачи исследования</w:t>
      </w:r>
    </w:p>
    <w:p>
      <w:pPr>
        <w:pStyle w:val="Normal"/>
        <w:rPr/>
      </w:pPr>
      <w:r>
        <w:rPr/>
        <w:t xml:space="preserve">Ввиду наследственного развития болезни медикаментозная терапия (наиболее популярная при СГХС) недостаточна для устранения заболевания. </w:t>
      </w:r>
    </w:p>
    <w:p>
      <w:pPr>
        <w:pStyle w:val="Normal"/>
        <w:rPr/>
      </w:pPr>
      <w:r>
        <w:rPr>
          <w:color w:val="000000"/>
        </w:rPr>
        <w:t>В связи с этим актуальной задачей является</w:t>
      </w:r>
      <w:r>
        <w:rPr/>
        <w:t xml:space="preserve"> </w:t>
      </w:r>
      <w:r>
        <w:rPr/>
        <w:t xml:space="preserve">определение </w:t>
      </w:r>
      <w:r>
        <w:rPr/>
        <w:t>генетически</w:t>
      </w:r>
      <w:r>
        <w:rPr>
          <w:rFonts w:cs="Times New Roman"/>
          <w:sz w:val="28"/>
          <w:szCs w:val="28"/>
        </w:rPr>
        <w:t>х</w:t>
      </w:r>
      <w:r>
        <w:rPr/>
        <w:t xml:space="preserve"> причин заболевания </w:t>
      </w:r>
      <w:r>
        <w:rPr/>
        <w:t xml:space="preserve">и </w:t>
      </w:r>
      <w:r>
        <w:rPr/>
        <w:t>генетическ</w:t>
      </w:r>
      <w:r>
        <w:rPr/>
        <w:t>ого</w:t>
      </w:r>
      <w:r>
        <w:rPr/>
        <w:t xml:space="preserve"> риск</w:t>
      </w:r>
      <w:r>
        <w:rPr/>
        <w:t xml:space="preserve">а, а также </w:t>
      </w:r>
      <w:r>
        <w:rPr>
          <w:rFonts w:cs="Times New Roman"/>
          <w:sz w:val="28"/>
          <w:szCs w:val="28"/>
        </w:rPr>
        <w:t>рассмотрение</w:t>
      </w:r>
      <w:r>
        <w:rPr/>
        <w:t xml:space="preserve"> причины осложнений с использованием инструментов биоинформатики.</w:t>
      </w:r>
    </w:p>
    <w:p>
      <w:pPr>
        <w:pStyle w:val="Normal"/>
        <w:rPr>
          <w:highlight w:val="yellow"/>
        </w:rPr>
      </w:pPr>
      <w:r>
        <w:rPr>
          <w:rFonts w:cs="Times New Roman"/>
          <w:color w:val="000000"/>
          <w:sz w:val="28"/>
          <w:szCs w:val="28"/>
        </w:rPr>
        <w:t>Целями</w:t>
      </w:r>
      <w:r>
        <w:rPr>
          <w:color w:val="000000"/>
        </w:rPr>
        <w:t xml:space="preserve"> данной работы явля</w:t>
      </w:r>
      <w:r>
        <w:rPr>
          <w:rFonts w:cs="Times New Roman"/>
          <w:color w:val="000000"/>
          <w:sz w:val="28"/>
          <w:szCs w:val="28"/>
        </w:rPr>
        <w:t>ю</w:t>
      </w:r>
      <w:r>
        <w:rPr>
          <w:color w:val="000000"/>
        </w:rPr>
        <w:t xml:space="preserve">тся </w:t>
      </w:r>
      <w:r>
        <w:rPr>
          <w:color w:val="000000"/>
        </w:rPr>
        <w:t>а</w:t>
      </w:r>
      <w:r>
        <w:rPr>
          <w:color w:val="000000"/>
        </w:rPr>
        <w:t>н</w:t>
      </w:r>
      <w:r>
        <w:rPr/>
        <w:t xml:space="preserve">ализ современного состояния по исследованию семейной гиперхолестеринемии по международным литературным источникам, и определение списка генов, ассоциированных с развитием заболевания по генетическим базам данных </w:t>
      </w:r>
      <w:r>
        <w:rPr/>
        <w:t>и к</w:t>
      </w:r>
      <w:r>
        <w:rPr/>
        <w:t>омпьютерная реконструкция и визуализация генных сетей для анализа семейной гиперхолестеринемии с целью поиска перспективных генов-мишеней для диагностики и терапии.</w:t>
      </w:r>
    </w:p>
    <w:p>
      <w:pPr>
        <w:pStyle w:val="Normal"/>
        <w:ind w:hanging="0"/>
        <w:rPr/>
      </w:pPr>
      <w:bookmarkStart w:id="2" w:name="_Toc485312995"/>
      <w:bookmarkStart w:id="3" w:name="_Toc485225015"/>
      <w:bookmarkStart w:id="4" w:name="_Toc485160024"/>
      <w:bookmarkStart w:id="5" w:name="_Toc485155385"/>
      <w:bookmarkStart w:id="6" w:name="_Toc485115101"/>
      <w:r>
        <w:rPr/>
        <w:t>В соответствии с заданной целью были сформированы следующие задачи:</w:t>
      </w:r>
      <w:bookmarkEnd w:id="2"/>
      <w:bookmarkEnd w:id="3"/>
      <w:bookmarkEnd w:id="4"/>
      <w:bookmarkEnd w:id="5"/>
      <w:bookmarkEnd w:id="6"/>
      <w:r>
        <w:rPr/>
        <w:t xml:space="preserve"> </w:t>
      </w:r>
    </w:p>
    <w:p>
      <w:pPr>
        <w:pStyle w:val="Normal"/>
        <w:numPr>
          <w:ilvl w:val="0"/>
          <w:numId w:val="7"/>
        </w:numPr>
        <w:rPr/>
      </w:pPr>
      <w:r>
        <w:rPr>
          <w:rFonts w:cs="Times New Roman"/>
          <w:sz w:val="28"/>
          <w:szCs w:val="28"/>
        </w:rPr>
        <w:t>И</w:t>
      </w:r>
      <w:r>
        <w:rPr/>
        <w:t>зучение литературных данных, связанных с семейной гиперхолестеринемией;</w:t>
      </w:r>
    </w:p>
    <w:p>
      <w:pPr>
        <w:pStyle w:val="Normal"/>
        <w:numPr>
          <w:ilvl w:val="0"/>
          <w:numId w:val="7"/>
        </w:numPr>
        <w:rPr/>
      </w:pPr>
      <w:r>
        <w:rPr>
          <w:rFonts w:cs="Times New Roman"/>
          <w:sz w:val="28"/>
          <w:szCs w:val="28"/>
        </w:rPr>
        <w:t>П</w:t>
      </w:r>
      <w:r>
        <w:rPr/>
        <w:t>остроение списка генов, ассоциированных с семейной гиперхолестеринемией по интернет-доступным базам данных;</w:t>
      </w:r>
    </w:p>
    <w:p>
      <w:pPr>
        <w:pStyle w:val="Normal"/>
        <w:numPr>
          <w:ilvl w:val="0"/>
          <w:numId w:val="7"/>
        </w:numPr>
        <w:rPr/>
      </w:pPr>
      <w:r>
        <w:rPr>
          <w:rFonts w:cs="Times New Roman"/>
          <w:sz w:val="28"/>
          <w:szCs w:val="28"/>
        </w:rPr>
        <w:t>С</w:t>
      </w:r>
      <w:r>
        <w:rPr/>
        <w:t>оставление таблиц представленности категорий генных онтологий сетей по полученному списку генов семейной гиперхолестеринемии на основе инструментов биоинформатики;</w:t>
      </w:r>
    </w:p>
    <w:p>
      <w:pPr>
        <w:pStyle w:val="Normal"/>
        <w:numPr>
          <w:ilvl w:val="0"/>
          <w:numId w:val="7"/>
        </w:numPr>
        <w:rPr/>
      </w:pPr>
      <w:r>
        <w:rPr/>
        <w:t>Компьютерная реконструкция генной сети генов семейной гиперхолестеринемии, ее визуализация, статистический анализ и сопоставление с генными сетями сопутствующих заболеваний.</w:t>
      </w:r>
    </w:p>
    <w:p>
      <w:pPr>
        <w:pStyle w:val="Normal"/>
        <w:numPr>
          <w:ilvl w:val="0"/>
          <w:numId w:val="7"/>
        </w:numPr>
        <w:rPr/>
      </w:pPr>
      <w:r>
        <w:rPr>
          <w:rFonts w:cs="Times New Roman"/>
          <w:sz w:val="28"/>
          <w:szCs w:val="28"/>
        </w:rPr>
        <w:t>А</w:t>
      </w:r>
      <w:r>
        <w:rPr/>
        <w:t>нализ полученных результатов, оценка связи полученных результатов с клиническими и литературными данными, обсуждение перспективных генов как мишеней для терапевтического воздействия;</w:t>
      </w:r>
    </w:p>
    <w:p>
      <w:pPr>
        <w:pStyle w:val="Normal"/>
        <w:rPr/>
      </w:pPr>
      <w:r>
        <w:rPr/>
      </w:r>
    </w:p>
    <w:p>
      <w:pPr>
        <w:pStyle w:val="Normal"/>
        <w:rPr/>
      </w:pPr>
      <w:r>
        <w:rPr/>
      </w:r>
      <w:r>
        <w:br w:type="page"/>
      </w:r>
    </w:p>
    <w:p>
      <w:pPr>
        <w:pStyle w:val="Heading1"/>
        <w:rPr/>
      </w:pPr>
      <w:bookmarkStart w:id="7" w:name="_Toc311164711"/>
      <w:r>
        <w:rPr/>
        <w:t>1. ОБЗОР ЛИТЕРАТУРЫ</w:t>
      </w:r>
      <w:bookmarkEnd w:id="7"/>
    </w:p>
    <w:p>
      <w:pPr>
        <w:pStyle w:val="Heading2"/>
        <w:rPr/>
      </w:pPr>
      <w:bookmarkStart w:id="8" w:name="_Toc311164721"/>
      <w:r>
        <w:rPr/>
        <w:t xml:space="preserve">1.1. </w:t>
      </w:r>
      <w:bookmarkEnd w:id="8"/>
      <w:r>
        <w:rPr/>
        <w:t>Семейная гиперхолестеринемия</w:t>
      </w:r>
    </w:p>
    <w:p>
      <w:pPr>
        <w:pStyle w:val="Heading3"/>
        <w:rPr/>
      </w:pPr>
      <w:bookmarkStart w:id="9" w:name="_Toc311164731"/>
      <w:r>
        <w:rPr/>
        <w:t xml:space="preserve">1.1.1. </w:t>
      </w:r>
      <w:bookmarkEnd w:id="9"/>
      <w:r>
        <w:rPr>
          <w:rFonts w:cs="Times New Roman"/>
          <w:sz w:val="28"/>
          <w:szCs w:val="28"/>
        </w:rPr>
        <w:t>Основные факты</w:t>
      </w:r>
    </w:p>
    <w:p>
      <w:pPr>
        <w:pStyle w:val="Normal"/>
        <w:rPr/>
      </w:pPr>
      <w:r>
        <w:rPr/>
        <w:t>Семейная гиперхолестеринемия - это аутосомно-доминантно-наследственное генетическое заболевание, которое приводит к повышению уровня холестерина в крови. Семейная гиперхолестеринемия может проявляться в виде резко повышенного уровня общего холестерина и холестерина липопротеинов низкой плотности (ЛПНП) или в виде преждевременной ишемической болезни сердца (ИБС).</w:t>
      </w:r>
    </w:p>
    <w:p>
      <w:pPr>
        <w:pStyle w:val="Normal"/>
        <w:rPr/>
      </w:pPr>
      <w:r>
        <w:rPr/>
        <w:t>Семейная гиперхолестеринемия, также известная как семейная гиперлипопротеинемия типа 2 или гиперлипидемия Фредриксона класса 2a, является аутосомно-доминантно-наследственным генетическим заболеванием, которое приводит к повышению уровня холестерина в крови. Как правило, пациент наследует только один из дефектных генов, являясь гетерозиготным. В редких случаях пациент наследует аномальный ген от обоих родителей, становясь гомозиготным; гомозиготность п</w:t>
      </w:r>
      <w:r>
        <w:rPr/>
        <w:t>ри с</w:t>
      </w:r>
      <w:r>
        <w:rPr/>
        <w:t>емейн</w:t>
      </w:r>
      <w:r>
        <w:rPr/>
        <w:t>ой</w:t>
      </w:r>
      <w:r>
        <w:rPr/>
        <w:t xml:space="preserve"> гиперхолестеринеми</w:t>
      </w:r>
      <w:r>
        <w:rPr/>
        <w:t>и</w:t>
      </w:r>
      <w:r>
        <w:rPr/>
        <w:t xml:space="preserve"> приводит к чрезвычайно высокому уровню холестерина в крови. Международный фонд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и</w:t>
      </w:r>
      <w:r>
        <w:rPr/>
        <w:t xml:space="preserve"> и Национальный институт здоровья и совершенствования медицинской помощи (бывший Национальный институт здоровья и клинического совершенствования) опубликовали рекомендации по выявлению, оценке и лечению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и</w:t>
      </w:r>
      <w:r>
        <w:rPr/>
        <w:t xml:space="preserve">, чтобы помочь врачам, ответственным за лечение пациентов с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ей.</w:t>
      </w:r>
    </w:p>
    <w:p>
      <w:pPr>
        <w:pStyle w:val="Normal"/>
        <w:rPr/>
      </w:pPr>
      <w:r>
        <w:rPr/>
        <w:t xml:space="preserve">Семейная гиперхолестеринемия может проявляться в виде резко повышенного уровня общего холестерина и холестерина липопротеинов низкой плотности </w:t>
      </w:r>
      <w:r>
        <w:rPr/>
        <w:t>(</w:t>
      </w:r>
      <w:r>
        <w:rPr/>
        <w:t>ЛПНП</w:t>
      </w:r>
      <w:r>
        <w:rPr/>
        <w:t>)</w:t>
      </w:r>
      <w:r>
        <w:rPr/>
        <w:t xml:space="preserve"> </w:t>
      </w:r>
      <w:r>
        <w:rPr/>
        <w:t xml:space="preserve">и </w:t>
      </w:r>
      <w:r>
        <w:rPr/>
        <w:t xml:space="preserve">липопротеинов </w:t>
      </w:r>
      <w:r>
        <w:rPr/>
        <w:t xml:space="preserve">очень </w:t>
      </w:r>
      <w:r>
        <w:rPr/>
        <w:t xml:space="preserve">низкой плотности </w:t>
      </w:r>
      <w:r>
        <w:rPr/>
        <w:t>(</w:t>
      </w:r>
      <w:r>
        <w:rPr/>
        <w:t>ЛП</w:t>
      </w:r>
      <w:r>
        <w:rPr/>
        <w:t>О</w:t>
      </w:r>
      <w:r>
        <w:rPr/>
        <w:t>НП</w:t>
      </w:r>
      <w:r>
        <w:rPr/>
        <w:t>)</w:t>
      </w:r>
      <w:r>
        <w:rPr/>
        <w:t xml:space="preserve"> или в виде преждевременной ишемической болезни сердца (ИБС). По оценкам, 5% инфарктов миокарда (ИМ) у пациентов моложе 60 лет и 20% ИМ у пациентов моложе 45 лет связаны с ИБС.3 У мужчин с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ей</w:t>
      </w:r>
      <w:r>
        <w:rPr/>
        <w:t xml:space="preserve"> вероятность развития ишемической болезни сердца к 50 годам составляет 50%, а у женщин с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ей</w:t>
      </w:r>
      <w:r>
        <w:rPr/>
        <w:t xml:space="preserve"> вероятность развития ишемической болезни сердца к 60 годам составляет 30%. Гомозиготная форма </w:t>
      </w:r>
      <w:r>
        <w:rPr>
          <w:rFonts w:cs="Times New Roman"/>
          <w:sz w:val="28"/>
          <w:szCs w:val="28"/>
        </w:rPr>
        <w:t>с</w:t>
      </w:r>
      <w:r>
        <w:rPr/>
        <w:t>емейн</w:t>
      </w:r>
      <w:r>
        <w:rPr>
          <w:rFonts w:cs="Times New Roman"/>
          <w:sz w:val="28"/>
          <w:szCs w:val="28"/>
        </w:rPr>
        <w:t>ой</w:t>
      </w:r>
      <w:r>
        <w:rPr/>
        <w:t xml:space="preserve"> гиперхолестеринеми</w:t>
      </w:r>
      <w:r>
        <w:rPr/>
        <w:t>и</w:t>
      </w:r>
      <w:r>
        <w:rPr/>
        <w:t xml:space="preserve">, хотя и встречается редко, является особенно разрушительной. У пациентов с гомозиготной формой </w:t>
      </w:r>
      <w:r>
        <w:rPr>
          <w:rFonts w:cs="Times New Roman"/>
          <w:sz w:val="28"/>
          <w:szCs w:val="28"/>
        </w:rPr>
        <w:t>с</w:t>
      </w:r>
      <w:r>
        <w:rPr/>
        <w:t>емейн</w:t>
      </w:r>
      <w:r>
        <w:rPr>
          <w:rFonts w:cs="Times New Roman"/>
          <w:sz w:val="28"/>
          <w:szCs w:val="28"/>
        </w:rPr>
        <w:t>ой</w:t>
      </w:r>
      <w:r>
        <w:rPr/>
        <w:t xml:space="preserve"> гиперхолестеринеми</w:t>
      </w:r>
      <w:r>
        <w:rPr/>
        <w:t>и</w:t>
      </w:r>
      <w:r>
        <w:rPr/>
        <w:t xml:space="preserve"> атеросклероз развивается в детстве, а ишемическ</w:t>
      </w:r>
      <w:r>
        <w:rPr>
          <w:rFonts w:cs="Times New Roman"/>
          <w:sz w:val="28"/>
          <w:szCs w:val="28"/>
        </w:rPr>
        <w:t>ая</w:t>
      </w:r>
      <w:r>
        <w:rPr/>
        <w:t xml:space="preserve"> болезн</w:t>
      </w:r>
      <w:r>
        <w:rPr>
          <w:rFonts w:cs="Times New Roman"/>
          <w:sz w:val="28"/>
          <w:szCs w:val="28"/>
        </w:rPr>
        <w:t>ь</w:t>
      </w:r>
      <w:r>
        <w:rPr/>
        <w:t xml:space="preserve"> сердца может проявиться в возрасте до 20 лет. </w:t>
      </w:r>
    </w:p>
    <w:p>
      <w:pPr>
        <w:pStyle w:val="Normal"/>
        <w:rPr/>
      </w:pPr>
      <w:r>
        <w:rPr/>
        <w:t xml:space="preserve">Согласно клиническим рекомендациям Минздрава РФ ("Клинические рекомендации "Семейная гиперхолестеринемия" (утв. Минздравом России)) распространенность гетерозиготной </w:t>
      </w:r>
      <w:r>
        <w:rPr>
          <w:rFonts w:cs="Times New Roman"/>
          <w:sz w:val="28"/>
          <w:szCs w:val="28"/>
        </w:rPr>
        <w:t>с</w:t>
      </w:r>
      <w:r>
        <w:rPr>
          <w:rFonts w:cs="Times New Roman"/>
          <w:sz w:val="28"/>
          <w:szCs w:val="28"/>
        </w:rPr>
        <w:t>емейн</w:t>
      </w:r>
      <w:r>
        <w:rPr>
          <w:rFonts w:cs="Times New Roman"/>
          <w:sz w:val="28"/>
          <w:szCs w:val="28"/>
        </w:rPr>
        <w:t>ой</w:t>
      </w:r>
      <w:r>
        <w:rPr>
          <w:rFonts w:cs="Times New Roman"/>
          <w:sz w:val="28"/>
          <w:szCs w:val="28"/>
        </w:rPr>
        <w:t xml:space="preserve"> гиперхолестеринеми</w:t>
      </w:r>
      <w:r>
        <w:rPr>
          <w:rFonts w:cs="Times New Roman"/>
          <w:sz w:val="28"/>
          <w:szCs w:val="28"/>
        </w:rPr>
        <w:t>и</w:t>
      </w:r>
      <w:r>
        <w:rPr/>
        <w:t xml:space="preserve"> в мире составляет 1 на 250 человек. По данным эпидемиологического исследования, проведенного в двух регионах Российской Федерации, распространенность </w:t>
      </w:r>
      <w:r>
        <w:rPr>
          <w:rFonts w:cs="Times New Roman"/>
          <w:sz w:val="28"/>
          <w:szCs w:val="28"/>
        </w:rPr>
        <w:t>с</w:t>
      </w:r>
      <w:r>
        <w:rPr>
          <w:rFonts w:cs="Times New Roman"/>
          <w:sz w:val="28"/>
          <w:szCs w:val="28"/>
        </w:rPr>
        <w:t>емейн</w:t>
      </w:r>
      <w:r>
        <w:rPr>
          <w:rFonts w:cs="Times New Roman"/>
          <w:sz w:val="28"/>
          <w:szCs w:val="28"/>
        </w:rPr>
        <w:t>ой</w:t>
      </w:r>
      <w:r>
        <w:rPr>
          <w:rFonts w:cs="Times New Roman"/>
          <w:sz w:val="28"/>
          <w:szCs w:val="28"/>
        </w:rPr>
        <w:t xml:space="preserve"> гиперхолестеринеми</w:t>
      </w:r>
      <w:r>
        <w:rPr>
          <w:rFonts w:cs="Times New Roman"/>
          <w:sz w:val="28"/>
          <w:szCs w:val="28"/>
        </w:rPr>
        <w:t>и</w:t>
      </w:r>
      <w:r>
        <w:rPr/>
        <w:t xml:space="preserve"> составляет 1 на 108 человек. Распространенность гомозиготной </w:t>
      </w:r>
      <w:r>
        <w:rPr>
          <w:rFonts w:cs="Times New Roman"/>
          <w:sz w:val="28"/>
          <w:szCs w:val="28"/>
        </w:rPr>
        <w:t>с</w:t>
      </w:r>
      <w:r>
        <w:rPr>
          <w:rFonts w:cs="Times New Roman"/>
          <w:sz w:val="28"/>
          <w:szCs w:val="28"/>
        </w:rPr>
        <w:t>емейн</w:t>
      </w:r>
      <w:r>
        <w:rPr>
          <w:rFonts w:cs="Times New Roman"/>
          <w:sz w:val="28"/>
          <w:szCs w:val="28"/>
        </w:rPr>
        <w:t>ой</w:t>
      </w:r>
      <w:r>
        <w:rPr>
          <w:rFonts w:cs="Times New Roman"/>
          <w:sz w:val="28"/>
          <w:szCs w:val="28"/>
        </w:rPr>
        <w:t xml:space="preserve"> гиперхолестеринеми</w:t>
      </w:r>
      <w:r>
        <w:rPr>
          <w:rFonts w:cs="Times New Roman"/>
          <w:sz w:val="28"/>
          <w:szCs w:val="28"/>
        </w:rPr>
        <w:t>и</w:t>
      </w:r>
      <w:r>
        <w:rPr/>
        <w:t xml:space="preserve"> - значительно меньше (1 на 300 тыс. - 1 млн. человек). С</w:t>
      </w:r>
      <w:r>
        <w:rPr>
          <w:rFonts w:cs="Times New Roman"/>
          <w:sz w:val="28"/>
          <w:szCs w:val="28"/>
        </w:rPr>
        <w:t>емейн</w:t>
      </w:r>
      <w:r>
        <w:rPr>
          <w:rFonts w:cs="Times New Roman"/>
          <w:sz w:val="28"/>
          <w:szCs w:val="28"/>
        </w:rPr>
        <w:t>ая</w:t>
      </w:r>
      <w:r>
        <w:rPr>
          <w:rFonts w:cs="Times New Roman"/>
          <w:sz w:val="28"/>
          <w:szCs w:val="28"/>
        </w:rPr>
        <w:t xml:space="preserve"> гиперхолестеринеми</w:t>
      </w:r>
      <w:r>
        <w:rPr>
          <w:rFonts w:cs="Times New Roman"/>
          <w:sz w:val="28"/>
          <w:szCs w:val="28"/>
        </w:rPr>
        <w:t>я</w:t>
      </w:r>
      <w:r>
        <w:rPr/>
        <w:t xml:space="preserve"> является причиной развития инфаркта миокарда до 45 лет в 20% случаев. Пациенты с </w:t>
      </w:r>
      <w:r>
        <w:rPr>
          <w:rFonts w:cs="Times New Roman"/>
          <w:sz w:val="28"/>
          <w:szCs w:val="28"/>
        </w:rPr>
        <w:t>с</w:t>
      </w:r>
      <w:r>
        <w:rPr>
          <w:rFonts w:cs="Times New Roman"/>
          <w:sz w:val="28"/>
          <w:szCs w:val="28"/>
        </w:rPr>
        <w:t>емейн</w:t>
      </w:r>
      <w:r>
        <w:rPr>
          <w:rFonts w:cs="Times New Roman"/>
          <w:sz w:val="28"/>
          <w:szCs w:val="28"/>
        </w:rPr>
        <w:t>ой</w:t>
      </w:r>
      <w:r>
        <w:rPr>
          <w:rFonts w:cs="Times New Roman"/>
          <w:sz w:val="28"/>
          <w:szCs w:val="28"/>
        </w:rPr>
        <w:t xml:space="preserve"> гиперхолестеринеми</w:t>
      </w:r>
      <w:r>
        <w:rPr>
          <w:rFonts w:cs="Times New Roman"/>
          <w:sz w:val="28"/>
          <w:szCs w:val="28"/>
        </w:rPr>
        <w:t>ей</w:t>
      </w:r>
      <w:r>
        <w:rPr/>
        <w:t xml:space="preserve"> имеют также повышенный риск развития преждевременной смерти. У мужчин, больных гетерозиготной </w:t>
      </w:r>
      <w:r>
        <w:rPr>
          <w:rFonts w:cs="Times New Roman"/>
          <w:sz w:val="28"/>
          <w:szCs w:val="28"/>
        </w:rPr>
        <w:t>с</w:t>
      </w:r>
      <w:r>
        <w:rPr>
          <w:rFonts w:cs="Times New Roman"/>
          <w:sz w:val="28"/>
          <w:szCs w:val="28"/>
        </w:rPr>
        <w:t>емейн</w:t>
      </w:r>
      <w:r>
        <w:rPr>
          <w:rFonts w:cs="Times New Roman"/>
          <w:sz w:val="28"/>
          <w:szCs w:val="28"/>
        </w:rPr>
        <w:t>ой</w:t>
      </w:r>
      <w:r>
        <w:rPr>
          <w:rFonts w:cs="Times New Roman"/>
          <w:sz w:val="28"/>
          <w:szCs w:val="28"/>
        </w:rPr>
        <w:t xml:space="preserve"> гиперхолестеринеми</w:t>
      </w:r>
      <w:r>
        <w:rPr>
          <w:rFonts w:cs="Times New Roman"/>
          <w:sz w:val="28"/>
          <w:szCs w:val="28"/>
        </w:rPr>
        <w:t>ей</w:t>
      </w:r>
      <w:r>
        <w:rPr/>
        <w:t>, в случае отсутствия лечения ишемическая болезнь сердца развивается к 30 годам у 5,4%, к 50 годам - 51,4%, к 60 годам - 85,4%, а у женщин к 60 годам - у 53,3%. Согласно докладу ВОЗ (1997), 50% мужчин с гетерозиготной СГХС умирают в возрасте до 60 лет из-за ИБС. В России продолжительность жизни у мужчин с гетерозиготной СГХС - 53 года, у женщин 62 года. У нелеченных пациентов с гомозиготной СГХС атеросклероз развивается в возрасте до 20 лет, и продолжительность жизни составляет не более 30 лет.</w:t>
      </w:r>
    </w:p>
    <w:p>
      <w:pPr>
        <w:pStyle w:val="Normal"/>
        <w:rPr/>
      </w:pPr>
      <w:r>
        <w:rPr/>
        <w:t>Гетерозиготы встречаются с частотой 1:500 человек, при этом у некоторых народов Африки – 1:100. Количество рецепторов ЛПНП на поверхности клеток у гетерозигот снижено вдвое, а концентрация ХС в плазме, соответсвенно, вдвое повышается. У таких больных к 35-40-летнему возрасту концентрация ХС в крови достигает 400-500 мг/дл (при норме 200+-50 мг/дл).</w:t>
      </w:r>
    </w:p>
    <w:p>
      <w:pPr>
        <w:pStyle w:val="Normal"/>
        <w:rPr/>
      </w:pPr>
      <w:r>
        <w:rPr/>
        <w:t>Гомозиготы встречаются с частотой 1:1 000 000. Концентрация ХС у таких людей в раннем возрасте увеличена в 5-6 раз. В таких случаях в организме макрофаги захватывают ЛПНП, и откладываются в коже и сухожилиях, образуя ксантомы. ХС также откладывается на стенках артерий, образуя атеросклеротические бляшки. Такие дети без экстренного лечения погибаю в 5-6 лет.</w:t>
      </w:r>
    </w:p>
    <w:p>
      <w:pPr>
        <w:pStyle w:val="Normal"/>
        <w:rPr/>
      </w:pPr>
      <w:r>
        <w:rPr>
          <w:rFonts w:cs="Times New Roman"/>
          <w:sz w:val="28"/>
          <w:szCs w:val="28"/>
        </w:rPr>
        <w:t>Всвязи с этим</w:t>
      </w:r>
      <w:r>
        <w:rPr/>
        <w:t xml:space="preserve"> рутинный скрининг холестерина рекомендуется проводить в разном возрасте в зависимости от риска. Обнаружение </w:t>
      </w:r>
      <w:r>
        <w:rPr>
          <w:rFonts w:cs="Times New Roman"/>
          <w:sz w:val="28"/>
          <w:szCs w:val="28"/>
        </w:rPr>
        <w:t>с</w:t>
      </w:r>
      <w:r>
        <w:rPr/>
        <w:t>емейн</w:t>
      </w:r>
      <w:r>
        <w:rPr>
          <w:rFonts w:cs="Times New Roman"/>
          <w:sz w:val="28"/>
          <w:szCs w:val="28"/>
        </w:rPr>
        <w:t>ой</w:t>
      </w:r>
      <w:r>
        <w:rPr/>
        <w:t xml:space="preserve"> гиперхолестеринеми</w:t>
      </w:r>
      <w:r>
        <w:rPr/>
        <w:t>и</w:t>
      </w:r>
      <w:r>
        <w:rPr/>
        <w:t xml:space="preserve"> должно привести к каскадному тестированию для выявления других членов семьи с этим заболеванием.</w:t>
      </w:r>
    </w:p>
    <w:p>
      <w:pPr>
        <w:pStyle w:val="Normal"/>
        <w:rPr/>
      </w:pPr>
      <w:r>
        <w:rPr/>
        <w:t xml:space="preserve">Пациенты с выявленной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ей</w:t>
      </w:r>
      <w:r>
        <w:rPr/>
        <w:t xml:space="preserve"> должны быть проконсультированы относительно терапевтического изменения образа жизни и должны принимать высокие дозы сильнодействующих статинов для достижения 50% снижения уровня ЛПНП. Пациентам с тяжелой формой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и</w:t>
      </w:r>
      <w:r>
        <w:rPr/>
        <w:t xml:space="preserve"> может быть полезна дополнительная терапия другими препаратами, снижающими уровень холестерина, и аферез ЛПНП. Дети с гомозиготн</w:t>
      </w:r>
      <w:r>
        <w:rPr>
          <w:rFonts w:cs="Times New Roman"/>
          <w:sz w:val="28"/>
          <w:szCs w:val="28"/>
        </w:rPr>
        <w:t>ой</w:t>
      </w:r>
      <w:r>
        <w:rPr/>
        <w:t xml:space="preserve">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ей</w:t>
      </w:r>
      <w:r>
        <w:rPr/>
        <w:t xml:space="preserve"> и чрезвычайно высоким уровнем ЛПНП могут быть кандидатами на ортотопическую трансплантацию печени.</w:t>
      </w:r>
    </w:p>
    <w:p>
      <w:pPr>
        <w:pStyle w:val="Normal"/>
        <w:rPr/>
      </w:pPr>
      <w:r>
        <w:rPr/>
        <w:t xml:space="preserve">На рисунке ниже представлено соотношение сердечнососудистых заболеваний, встречающихся у пациентов </w:t>
      </w:r>
      <w:r>
        <w:rPr>
          <w:rFonts w:cs="Times New Roman"/>
          <w:sz w:val="28"/>
          <w:szCs w:val="28"/>
        </w:rPr>
        <w:t>с</w:t>
      </w:r>
      <w:r>
        <w:rPr/>
        <w:t xml:space="preserve"> </w:t>
      </w:r>
      <w:r>
        <w:rPr>
          <w:rFonts w:cs="Times New Roman"/>
          <w:sz w:val="28"/>
          <w:szCs w:val="28"/>
        </w:rPr>
        <w:t>с</w:t>
      </w:r>
      <w:r>
        <w:rPr/>
        <w:t>емейн</w:t>
      </w:r>
      <w:r>
        <w:rPr>
          <w:rFonts w:cs="Times New Roman"/>
          <w:sz w:val="28"/>
          <w:szCs w:val="28"/>
        </w:rPr>
        <w:t>ой</w:t>
      </w:r>
      <w:r>
        <w:rPr/>
        <w:t xml:space="preserve"> гиперхолестеринеми</w:t>
      </w:r>
      <w:r>
        <w:rPr>
          <w:rFonts w:cs="Times New Roman"/>
          <w:sz w:val="28"/>
          <w:szCs w:val="28"/>
        </w:rPr>
        <w:t>ей.</w:t>
      </w:r>
    </w:p>
    <w:p>
      <w:pPr>
        <w:pStyle w:val="Normal"/>
        <w:rPr/>
      </w:pPr>
      <w:r>
        <w:rPr/>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-285115</wp:posOffset>
            </wp:positionH>
            <wp:positionV relativeFrom="paragraph">
              <wp:posOffset>635</wp:posOffset>
            </wp:positionV>
            <wp:extent cx="6299835" cy="435737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99835" cy="4357370"/>
                    </a:xfrm>
                    <a:prstGeom prst="rect">
                      <a:avLst/>
                    </a:prstGeom>
                  </pic:spPr>
                </pic:pic>
              </a:graphicData>
            </a:graphic>
          </wp:anchor>
        </w:drawing>
      </w:r>
    </w:p>
    <w:p>
      <w:pPr>
        <w:pStyle w:val="Normal"/>
        <w:rPr/>
      </w:pPr>
      <w:r>
        <w:rPr/>
        <w:t>Стандартизованное отношение заболеваемости (standardized incidence ratio, SIR): отношение наблюдаемого числа новых случаев заболевания к предполагаемому.</w:t>
      </w:r>
    </w:p>
    <w:p>
      <w:pPr>
        <w:pStyle w:val="Normal"/>
        <w:ind w:hanging="0"/>
        <w:rPr/>
      </w:pPr>
      <w:r>
        <w:rPr/>
      </w:r>
    </w:p>
    <w:p>
      <w:pPr>
        <w:pStyle w:val="Heading3"/>
        <w:rPr/>
      </w:pPr>
      <w:bookmarkStart w:id="10" w:name="_Toc3111647311"/>
      <w:r>
        <w:rPr/>
        <w:t>1.1.</w:t>
      </w:r>
      <w:r>
        <w:rPr/>
        <w:t>2</w:t>
      </w:r>
      <w:r>
        <w:rPr/>
        <w:t xml:space="preserve">. </w:t>
      </w:r>
      <w:bookmarkEnd w:id="10"/>
      <w:r>
        <w:rPr>
          <w:rFonts w:cs="Times New Roman"/>
          <w:sz w:val="28"/>
          <w:szCs w:val="28"/>
        </w:rPr>
        <w:t xml:space="preserve">Обмен </w:t>
      </w:r>
      <w:r>
        <w:rPr>
          <w:rFonts w:cs="Times New Roman"/>
          <w:sz w:val="28"/>
          <w:szCs w:val="28"/>
        </w:rPr>
        <w:t>холестерола</w:t>
      </w:r>
    </w:p>
    <w:p>
      <w:pPr>
        <w:pStyle w:val="Normal"/>
        <w:ind w:hanging="0"/>
        <w:rPr/>
      </w:pPr>
      <w:r>
        <w:rPr>
          <w:rFonts w:cs="Times New Roman"/>
          <w:sz w:val="28"/>
          <w:szCs w:val="28"/>
        </w:rPr>
        <w:t>Д</w:t>
      </w:r>
      <w:r>
        <w:rPr>
          <w:rFonts w:cs="Times New Roman"/>
          <w:sz w:val="28"/>
          <w:szCs w:val="28"/>
        </w:rPr>
        <w:t xml:space="preserve">ля определения генов, чьи мутации приводят к СГХС и для их анализа необходимо учитывать роль холестерола в органах и тканях организма. Для этого важно </w:t>
      </w:r>
      <w:r>
        <w:rPr>
          <w:rFonts w:cs="Times New Roman"/>
          <w:sz w:val="28"/>
          <w:szCs w:val="28"/>
        </w:rPr>
        <w:t>акцентировать внимание на рекция</w:t>
      </w:r>
      <w:r>
        <w:rPr>
          <w:rFonts w:cs="Times New Roman"/>
          <w:sz w:val="28"/>
          <w:szCs w:val="28"/>
        </w:rPr>
        <w:t>х</w:t>
      </w:r>
      <w:r>
        <w:rPr>
          <w:rFonts w:cs="Times New Roman"/>
          <w:sz w:val="28"/>
          <w:szCs w:val="28"/>
        </w:rPr>
        <w:t>, протекающих в клетках и межклеточном пространстве в обмене холестерола.</w:t>
      </w:r>
    </w:p>
    <w:p>
      <w:pPr>
        <w:pStyle w:val="Normal"/>
        <w:ind w:hanging="0"/>
        <w:rPr/>
      </w:pPr>
      <w:r>
        <w:rPr/>
        <w:t xml:space="preserve">Холестерол – основной стероид организма человека. </w:t>
      </w:r>
      <w:r>
        <w:rPr>
          <w:rFonts w:cs="Times New Roman"/>
          <w:sz w:val="28"/>
          <w:szCs w:val="28"/>
        </w:rPr>
        <w:t>Его функции</w:t>
      </w:r>
      <w:r>
        <w:rPr/>
        <w:t>:</w:t>
      </w:r>
    </w:p>
    <w:p>
      <w:pPr>
        <w:pStyle w:val="Normal"/>
        <w:numPr>
          <w:ilvl w:val="0"/>
          <w:numId w:val="4"/>
        </w:numPr>
        <w:rPr/>
      </w:pPr>
      <w:r>
        <w:rPr/>
        <w:t>компонент мембран, отвечает за вязкость гидрофобного слоя;</w:t>
      </w:r>
    </w:p>
    <w:p>
      <w:pPr>
        <w:pStyle w:val="Normal"/>
        <w:numPr>
          <w:ilvl w:val="0"/>
          <w:numId w:val="4"/>
        </w:numPr>
        <w:rPr/>
      </w:pPr>
      <w:r>
        <w:rPr/>
        <w:t>компонент монослоя липидов на поверхности липопротеинов;</w:t>
      </w:r>
    </w:p>
    <w:p>
      <w:pPr>
        <w:pStyle w:val="Normal"/>
        <w:numPr>
          <w:ilvl w:val="0"/>
          <w:numId w:val="4"/>
        </w:numPr>
        <w:rPr/>
      </w:pPr>
      <w:r>
        <w:rPr/>
        <w:t>предшественник желчных к</w:t>
      </w:r>
      <w:r>
        <w:rPr>
          <w:rFonts w:cs="Times New Roman"/>
          <w:sz w:val="28"/>
          <w:szCs w:val="28"/>
        </w:rPr>
        <w:t>ислот</w:t>
      </w:r>
      <w:r>
        <w:rPr/>
        <w:t>, стероидных гормонов, витамина D</w:t>
      </w:r>
      <w:r>
        <w:rPr>
          <w:vertAlign w:val="subscript"/>
        </w:rPr>
        <w:t>3</w:t>
      </w:r>
      <w:r>
        <w:rPr/>
        <w:t>.</w:t>
      </w:r>
    </w:p>
    <w:p>
      <w:pPr>
        <w:pStyle w:val="Normal"/>
        <w:ind w:hanging="0"/>
        <w:rPr/>
      </w:pPr>
      <w:r>
        <w:rPr/>
      </w:r>
    </w:p>
    <w:p>
      <w:pPr>
        <w:pStyle w:val="Quotations"/>
        <w:rPr/>
      </w:pPr>
      <w:r>
        <w:rPr/>
        <w:t>Ассимиляция пищевого холестерола.</w:t>
      </w:r>
    </w:p>
    <w:p>
      <w:pPr>
        <w:pStyle w:val="Normal"/>
        <w:ind w:hanging="0"/>
        <w:rPr/>
      </w:pPr>
      <w:r>
        <w:rPr>
          <w:rFonts w:cs="Times New Roman"/>
          <w:sz w:val="28"/>
          <w:szCs w:val="28"/>
        </w:rPr>
        <w:t>Холестерол и его</w:t>
      </w:r>
      <w:r>
        <w:rPr/>
        <w:t xml:space="preserve"> эфиры содержатся в продуктах животного происхождения.</w:t>
      </w:r>
    </w:p>
    <w:p>
      <w:pPr>
        <w:pStyle w:val="Normal"/>
        <w:ind w:hanging="0"/>
        <w:rPr/>
      </w:pPr>
      <w:r>
        <w:rPr/>
        <w:t xml:space="preserve">В полости 12-перстной кишки молекулы экзогенного ХС и его эфиров входят в состав больших липидных капель. Ассимиляция поступающего с пищей холестерола и его эфиров включает те же этапы, что и ассимиляция жиров, </w:t>
      </w:r>
      <w:r>
        <w:rPr/>
        <w:t>а именно</w:t>
      </w:r>
      <w:r>
        <w:rPr/>
        <w:t>:</w:t>
      </w:r>
    </w:p>
    <w:p>
      <w:pPr>
        <w:pStyle w:val="Normal"/>
        <w:numPr>
          <w:ilvl w:val="0"/>
          <w:numId w:val="5"/>
        </w:numPr>
        <w:rPr/>
      </w:pPr>
      <w:r>
        <w:rPr/>
        <w:t xml:space="preserve">Эмульгирование </w:t>
      </w:r>
      <w:r>
        <w:rPr/>
        <w:t xml:space="preserve">жиров </w:t>
      </w:r>
      <w:r>
        <w:rPr/>
        <w:t>при участии солей желчных кислот.</w:t>
      </w:r>
    </w:p>
    <w:p>
      <w:pPr>
        <w:pStyle w:val="Normal"/>
        <w:numPr>
          <w:ilvl w:val="0"/>
          <w:numId w:val="5"/>
        </w:numPr>
        <w:rPr/>
      </w:pPr>
      <w:r>
        <w:rPr/>
        <w:t>Гидролиз эфиров холестерола при участии фермента панкреатического сока – холестеролэстеразы:</w:t>
      </w:r>
    </w:p>
    <w:p>
      <w:pPr>
        <w:pStyle w:val="Normal"/>
        <w:numPr>
          <w:ilvl w:val="0"/>
          <w:numId w:val="5"/>
        </w:numP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99835" cy="2074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299835" cy="2074545"/>
                    </a:xfrm>
                    <a:prstGeom prst="rect">
                      <a:avLst/>
                    </a:prstGeom>
                  </pic:spPr>
                </pic:pic>
              </a:graphicData>
            </a:graphic>
          </wp:anchor>
        </w:drawing>
      </w:r>
      <w:r>
        <w:rPr/>
        <w:t>Д</w:t>
      </w:r>
      <w:r>
        <w:rPr/>
        <w:t>алее ХС и ЖК включаются в состав смешанных мицелл и проникают в энтероциты.</w:t>
      </w:r>
    </w:p>
    <w:p>
      <w:pPr>
        <w:pStyle w:val="Normal"/>
        <w:numPr>
          <w:ilvl w:val="0"/>
          <w:numId w:val="5"/>
        </w:numPr>
        <w:rPr/>
      </w:pPr>
      <w:r>
        <w:rPr/>
        <w:t xml:space="preserve">Ресинтез </w:t>
      </w:r>
      <w:r>
        <w:rPr/>
        <w:t>эфиров холестерола</w:t>
      </w:r>
      <w:r>
        <w:rPr/>
        <w:t xml:space="preserve"> в энтероцитах:</w:t>
      </w:r>
    </w:p>
    <w:p>
      <w:pPr>
        <w:pStyle w:val="Normal"/>
        <w:numPr>
          <w:ilvl w:val="0"/>
          <w:numId w:val="5"/>
        </w:numPr>
        <w:rPr/>
      </w:pPr>
      <w:r>
        <w:rPr/>
        <w:t>ЭХС и небольшое кол</w:t>
      </w:r>
      <w:r>
        <w:rPr>
          <w:rFonts w:cs="Times New Roman"/>
          <w:sz w:val="28"/>
          <w:szCs w:val="28"/>
        </w:rPr>
        <w:t>ичест</w:t>
      </w:r>
      <w:r>
        <w:rPr/>
        <w:t xml:space="preserve">во свободного ХС включаются в состав </w:t>
      </w:r>
      <w:r>
        <w:rPr/>
        <w:t>незрелых хиломикронов (</w:t>
      </w:r>
      <w:r>
        <w:rPr/>
        <w:t>Х</w:t>
      </w:r>
      <w:r>
        <w:rPr/>
        <w:t>М</w:t>
      </w:r>
      <w:r>
        <w:rPr/>
        <w:t>н</w:t>
      </w:r>
      <w:r>
        <w:rPr/>
        <w:t>)</w:t>
      </w:r>
      <w:r>
        <w:rPr/>
        <w:t>.</w:t>
      </w:r>
    </w:p>
    <w:p>
      <w:pPr>
        <w:pStyle w:val="Normal"/>
        <w:numPr>
          <w:ilvl w:val="0"/>
          <w:numId w:val="5"/>
        </w:numPr>
        <w:rPr/>
      </w:pPr>
      <w:r>
        <w:rPr/>
        <w:t xml:space="preserve">Через лимфу ХМн поступают в кровь, где происходит их созревание. </w:t>
      </w:r>
    </w:p>
    <w:p>
      <w:pPr>
        <w:pStyle w:val="Normal"/>
        <w:numPr>
          <w:ilvl w:val="0"/>
          <w:numId w:val="5"/>
        </w:numPr>
        <w:rPr/>
      </w:pPr>
      <w:r>
        <w:rPr/>
        <w:t xml:space="preserve">Зрелые ХМ подвергаются действию </w:t>
      </w:r>
      <w:r>
        <w:rPr>
          <w:rFonts w:cs="Times New Roman"/>
          <w:sz w:val="28"/>
          <w:szCs w:val="28"/>
        </w:rPr>
        <w:t>липопротеин</w:t>
      </w:r>
      <w:r>
        <w:rPr/>
        <w:t xml:space="preserve">липазы </w:t>
      </w:r>
      <w:r>
        <w:rPr/>
        <w:t>(ЛП-липазы), в результате чего образуются остаточные хиломикроны (</w:t>
      </w:r>
      <w:r>
        <w:rPr/>
        <w:t>ХМост</w:t>
      </w:r>
      <w:r>
        <w:rPr/>
        <w:t>)</w:t>
      </w:r>
      <w:r>
        <w:rPr/>
        <w:t xml:space="preserve">. </w:t>
      </w:r>
    </w:p>
    <w:p>
      <w:pPr>
        <w:pStyle w:val="Normal"/>
        <w:numPr>
          <w:ilvl w:val="0"/>
          <w:numId w:val="5"/>
        </w:numPr>
        <w:rPr/>
      </w:pPr>
      <w:r>
        <w:rPr/>
        <w:t xml:space="preserve">ХМост. взаимодействуют с ЛПНП-рецепторами печени и поглощаются печенью с помощью рецептор-опосредованного эндоцитоза. (Лигандами ЛПНП-рецепторов служат белки апо-B и апо-E). </w:t>
      </w:r>
    </w:p>
    <w:p>
      <w:pPr>
        <w:pStyle w:val="Normal"/>
        <w:numPr>
          <w:ilvl w:val="0"/>
          <w:numId w:val="5"/>
        </w:numPr>
        <w:rPr/>
      </w:pPr>
      <w:r>
        <w:rPr/>
        <w:t xml:space="preserve">Компоненты ХМост. расщепляются лизосомальными ферментами. Освобождающийся ХС включается в общий фонд ХС в организме. </w:t>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299835" cy="17722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299835" cy="1772285"/>
                    </a:xfrm>
                    <a:prstGeom prst="rect">
                      <a:avLst/>
                    </a:prstGeom>
                  </pic:spPr>
                </pic:pic>
              </a:graphicData>
            </a:graphic>
          </wp:anchor>
        </w:drawing>
      </w:r>
    </w:p>
    <w:p>
      <w:pPr>
        <w:pStyle w:val="Normal"/>
        <w:rPr/>
      </w:pPr>
      <w:r>
        <w:rPr/>
        <w:t>Холестерол синтезируется из ацетил-</w:t>
      </w:r>
      <w:r>
        <w:rPr>
          <w:rFonts w:cs="Times New Roman"/>
          <w:sz w:val="28"/>
          <w:szCs w:val="28"/>
        </w:rPr>
        <w:t>кофермента-А</w:t>
      </w:r>
      <w:r>
        <w:rPr/>
        <w:t xml:space="preserve"> </w:t>
      </w:r>
      <w:r>
        <w:rPr/>
        <w:t xml:space="preserve">(ацетил-КоА) </w:t>
      </w:r>
      <w:r>
        <w:rPr/>
        <w:t xml:space="preserve">в основном в печени (80% всего </w:t>
      </w:r>
      <w:r>
        <w:rPr>
          <w:rFonts w:cs="Times New Roman"/>
          <w:sz w:val="28"/>
          <w:szCs w:val="28"/>
        </w:rPr>
        <w:t>холестерина</w:t>
      </w:r>
      <w:r>
        <w:rPr/>
        <w:t xml:space="preserve">). Также </w:t>
      </w:r>
      <w:r>
        <w:rPr>
          <w:rFonts w:cs="Times New Roman"/>
          <w:sz w:val="28"/>
          <w:szCs w:val="28"/>
        </w:rPr>
        <w:t>холестерин</w:t>
      </w:r>
      <w:r>
        <w:rPr/>
        <w:t xml:space="preserve"> синтезируется: в клетках кишечника, коре надпочечников, коже и др</w:t>
      </w:r>
      <w:r>
        <w:rPr>
          <w:rFonts w:cs="Times New Roman"/>
          <w:sz w:val="28"/>
          <w:szCs w:val="28"/>
        </w:rPr>
        <w:t>угих</w:t>
      </w:r>
      <w:r>
        <w:rPr/>
        <w:t xml:space="preserve"> тканях. Синтез ХС происходит в абсорбтивный период, в цитозоле и эндоплазматическом ретикулуме клеток печени одновременно с синтезом жирных кислот и ТАГ. </w:t>
      </w:r>
    </w:p>
    <w:p>
      <w:pPr>
        <w:pStyle w:val="Normal"/>
        <w:rPr/>
      </w:pPr>
      <w:r>
        <w:rPr/>
      </w:r>
    </w:p>
    <w:p>
      <w:pPr>
        <w:pStyle w:val="Normal"/>
        <w:rPr/>
      </w:pPr>
      <w:r>
        <w:rPr/>
        <w:drawing>
          <wp:anchor behindDoc="0" distT="0" distB="0" distL="0" distR="0" simplePos="0" locked="0" layoutInCell="0" allowOverlap="1" relativeHeight="8">
            <wp:simplePos x="0" y="0"/>
            <wp:positionH relativeFrom="column">
              <wp:posOffset>-900430</wp:posOffset>
            </wp:positionH>
            <wp:positionV relativeFrom="paragraph">
              <wp:posOffset>635</wp:posOffset>
            </wp:positionV>
            <wp:extent cx="3780790" cy="650748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780790" cy="6507480"/>
                    </a:xfrm>
                    <a:prstGeom prst="rect">
                      <a:avLst/>
                    </a:prstGeom>
                  </pic:spPr>
                </pic:pic>
              </a:graphicData>
            </a:graphic>
          </wp:anchor>
        </w:drawing>
      </w:r>
    </w:p>
    <w:p>
      <w:pPr>
        <w:pStyle w:val="Normal"/>
        <w:rPr/>
      </w:pPr>
      <w:r>
        <w:rPr/>
        <w:drawing>
          <wp:anchor behindDoc="0" distT="0" distB="0" distL="0" distR="0" simplePos="0" locked="0" layoutInCell="0" allowOverlap="1" relativeHeight="9">
            <wp:simplePos x="0" y="0"/>
            <wp:positionH relativeFrom="column">
              <wp:posOffset>-724535</wp:posOffset>
            </wp:positionH>
            <wp:positionV relativeFrom="paragraph">
              <wp:posOffset>-77470</wp:posOffset>
            </wp:positionV>
            <wp:extent cx="7199630" cy="419989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7199630" cy="4199890"/>
                    </a:xfrm>
                    <a:prstGeom prst="rect">
                      <a:avLst/>
                    </a:prstGeom>
                  </pic:spPr>
                </pic:pic>
              </a:graphicData>
            </a:graphic>
          </wp:anchor>
        </w:drawing>
      </w:r>
    </w:p>
    <w:p>
      <w:pPr>
        <w:pStyle w:val="Normal"/>
        <w:rPr/>
      </w:pPr>
      <w:r>
        <w:rPr/>
        <w:t xml:space="preserve">Реакции входящие в синтез ХС имеют высокую роль, так как влияние на ферменты, катализирующие данные реакции, может привести к изменению уровня ХС во всем организме, </w:t>
      </w:r>
      <w:r>
        <w:rPr>
          <w:rFonts w:cs="Times New Roman"/>
          <w:sz w:val="28"/>
          <w:szCs w:val="28"/>
        </w:rPr>
        <w:t>что</w:t>
      </w:r>
      <w:r>
        <w:rPr/>
        <w:t xml:space="preserve"> может быть использовано в терапии СГХС.</w:t>
      </w:r>
    </w:p>
    <w:p>
      <w:pPr>
        <w:pStyle w:val="Normal"/>
        <w:rPr/>
      </w:pPr>
      <w:r>
        <w:rPr/>
        <w:t xml:space="preserve">Большая часть синтезированного ХС и ЭХС удаляется из печени в составе ЛПОНП. ЛПОНП содержат 55% </w:t>
      </w:r>
      <w:r>
        <w:rPr/>
        <w:t>триацилглицерол (</w:t>
      </w:r>
      <w:r>
        <w:rPr/>
        <w:t>ТАГ</w:t>
      </w:r>
      <w:r>
        <w:rPr/>
        <w:t>)</w:t>
      </w:r>
      <w:r>
        <w:rPr/>
        <w:t xml:space="preserve">, фосфолипиды и апобелки (в основном: апо-В100). В крови ЛПОНП созревают, подвергаются действию </w:t>
      </w:r>
      <w:r>
        <w:rPr>
          <w:rFonts w:cs="Times New Roman"/>
          <w:sz w:val="28"/>
          <w:szCs w:val="28"/>
        </w:rPr>
        <w:t>липопротеин</w:t>
      </w:r>
      <w:r>
        <w:rPr/>
        <w:t xml:space="preserve">-липазы </w:t>
      </w:r>
      <w:r>
        <w:rPr/>
        <w:t>(ЛП-липаза)</w:t>
      </w:r>
      <w:r>
        <w:rPr/>
        <w:t xml:space="preserve"> и превращаются сначала в </w:t>
      </w:r>
      <w:r>
        <w:rPr/>
        <w:t>л</w:t>
      </w:r>
      <w:r>
        <w:rPr/>
        <w:t xml:space="preserve">ипопротеины промежуточной плотности </w:t>
      </w:r>
      <w:r>
        <w:rPr/>
        <w:t>(</w:t>
      </w:r>
      <w:r>
        <w:rPr/>
        <w:t>ЛППП</w:t>
      </w:r>
      <w:r>
        <w:rPr/>
        <w:t>)</w:t>
      </w:r>
      <w:r>
        <w:rPr/>
        <w:t xml:space="preserve">, а затем в ЛПНП. После этого  белки апо-E и апо-CII переносятся обратно из ЛПНП в </w:t>
      </w:r>
      <w:r>
        <w:rPr/>
        <w:t>л</w:t>
      </w:r>
      <w:r>
        <w:rPr/>
        <w:t xml:space="preserve">ипопротеины </w:t>
      </w:r>
      <w:r>
        <w:rPr>
          <w:rFonts w:cs="Times New Roman"/>
          <w:sz w:val="28"/>
          <w:szCs w:val="28"/>
        </w:rPr>
        <w:t>высокой</w:t>
      </w:r>
      <w:r>
        <w:rPr/>
        <w:t xml:space="preserve"> плотности </w:t>
      </w:r>
      <w:r>
        <w:rPr/>
        <w:t>(</w:t>
      </w:r>
      <w:r>
        <w:rPr/>
        <w:t>ЛПВП</w:t>
      </w:r>
      <w:r>
        <w:rPr/>
        <w:t>)</w:t>
      </w:r>
      <w:r>
        <w:rPr/>
        <w:t xml:space="preserve">. ЛПНП – основная транспортная форма </w:t>
      </w:r>
      <w:r>
        <w:rPr>
          <w:rFonts w:cs="Times New Roman"/>
          <w:sz w:val="28"/>
          <w:szCs w:val="28"/>
        </w:rPr>
        <w:t>холестерола</w:t>
      </w:r>
      <w:r>
        <w:rPr/>
        <w:t xml:space="preserve">, в которой он доставляется в ткани. </w:t>
      </w:r>
      <w:r>
        <w:rPr>
          <w:rFonts w:cs="Times New Roman"/>
          <w:sz w:val="28"/>
          <w:szCs w:val="28"/>
        </w:rPr>
        <w:t>Около</w:t>
      </w:r>
      <w:r>
        <w:rPr/>
        <w:t xml:space="preserve"> 70 </w:t>
      </w:r>
      <w:r>
        <w:rPr/>
        <w:t>процентов</w:t>
      </w:r>
      <w:r>
        <w:rPr/>
        <w:t xml:space="preserve"> </w:t>
      </w:r>
      <w:r>
        <w:rPr>
          <w:rFonts w:cs="Times New Roman"/>
          <w:sz w:val="28"/>
          <w:szCs w:val="28"/>
        </w:rPr>
        <w:t>холестерола</w:t>
      </w:r>
      <w:r>
        <w:rPr/>
        <w:t xml:space="preserve"> и </w:t>
      </w:r>
      <w:r>
        <w:rPr/>
        <w:t xml:space="preserve">эфиров </w:t>
      </w:r>
      <w:r>
        <w:rPr>
          <w:rFonts w:cs="Times New Roman"/>
          <w:sz w:val="28"/>
          <w:szCs w:val="28"/>
        </w:rPr>
        <w:t>холестерола</w:t>
      </w:r>
      <w:r>
        <w:rPr/>
        <w:t xml:space="preserve"> в крови находятся в составе ипопротеин</w:t>
      </w:r>
      <w:r>
        <w:rPr>
          <w:rFonts w:cs="Times New Roman"/>
          <w:sz w:val="28"/>
          <w:szCs w:val="28"/>
        </w:rPr>
        <w:t>ов</w:t>
      </w:r>
      <w:r>
        <w:rPr/>
        <w:t xml:space="preserve"> </w:t>
      </w:r>
      <w:r>
        <w:rPr>
          <w:rFonts w:cs="Times New Roman"/>
          <w:sz w:val="28"/>
          <w:szCs w:val="28"/>
        </w:rPr>
        <w:t>нозкой</w:t>
      </w:r>
      <w:r>
        <w:rPr/>
        <w:t xml:space="preserve"> плотности. Из крови ЛПНП поступают в печень (75%) и другие ткани и доставляют в них </w:t>
      </w:r>
      <w:r>
        <w:rPr>
          <w:rFonts w:cs="Times New Roman"/>
          <w:sz w:val="28"/>
          <w:szCs w:val="28"/>
        </w:rPr>
        <w:t>холестерол</w:t>
      </w:r>
      <w:r>
        <w:rPr/>
        <w:t xml:space="preserve">. Захват ЛПНП из кровотока происходит всеми тканями организма с помощью ЛПНП-рецепторов: </w:t>
      </w:r>
    </w:p>
    <w:p>
      <w:pPr>
        <w:pStyle w:val="Normal"/>
        <w:rPr/>
      </w:pPr>
      <w:r>
        <w:rPr/>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99835" cy="15208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299835" cy="1520825"/>
                    </a:xfrm>
                    <a:prstGeom prst="rect">
                      <a:avLst/>
                    </a:prstGeom>
                  </pic:spPr>
                </pic:pic>
              </a:graphicData>
            </a:graphic>
          </wp:anchor>
        </w:drawing>
      </w:r>
    </w:p>
    <w:p>
      <w:pPr>
        <w:pStyle w:val="Normal"/>
        <w:ind w:hanging="0"/>
        <w:rPr/>
      </w:pPr>
      <w:r>
        <w:rPr/>
        <w:tab/>
        <w:t xml:space="preserve">ЛПНП-рецепторы помимо ЛПНП могут также захватывать из крови ЛППП, ЛПОНП и </w:t>
      </w:r>
      <w:r>
        <w:rPr/>
        <w:t>остаточные хиломикроны (</w:t>
      </w:r>
      <w:r>
        <w:rPr/>
        <w:t>ХМост.</w:t>
      </w:r>
      <w:r>
        <w:rPr/>
        <w:t>)</w:t>
      </w:r>
      <w:r>
        <w:rPr/>
        <w:t xml:space="preserve"> ЛПНП-рецепторы взаимодействуют своим N-концевым гидрофобным доменом с белками апо-B (B48 и B100) и апо-E на поверхности липопротеинов (в основном: ЛПНП). После этого ЛП поглощаются тканями с помощью рецептор-опосредованного эндоцитоза.</w:t>
      </w:r>
    </w:p>
    <w:p>
      <w:pPr>
        <w:pStyle w:val="Normal"/>
        <w:ind w:hanging="0"/>
        <w:rPr/>
      </w:pPr>
      <w:r>
        <w:rPr/>
      </w:r>
    </w:p>
    <w:p>
      <w:pPr>
        <w:pStyle w:val="Normal"/>
        <w:ind w:hanging="0"/>
        <w:rPr/>
      </w:pPr>
      <w:r>
        <w:rPr/>
        <w:t xml:space="preserve">В обратном транспорте ХС, выведении избытка ХС из тканей и крови в печень, главную роль играют </w:t>
      </w:r>
      <w:r>
        <w:rPr/>
        <w:t>л</w:t>
      </w:r>
      <w:r>
        <w:rPr/>
        <w:t xml:space="preserve">ипопротеины </w:t>
      </w:r>
      <w:r>
        <w:rPr>
          <w:rFonts w:cs="Times New Roman"/>
          <w:sz w:val="28"/>
          <w:szCs w:val="28"/>
        </w:rPr>
        <w:t>высокой</w:t>
      </w:r>
      <w:r>
        <w:rPr/>
        <w:t xml:space="preserve"> плотности. В печени образуются незрелые ЛПВП – ЛПВП-предшественники</w:t>
      </w:r>
      <w:r>
        <w:rPr>
          <w:rFonts w:cs="Times New Roman"/>
          <w:sz w:val="28"/>
          <w:szCs w:val="28"/>
        </w:rPr>
        <w:t>.</w:t>
      </w:r>
      <w:r>
        <w:rPr/>
        <w:t xml:space="preserve"> Они имеют дисковидную форму и состоят из бислоя фосфолипидов, с включенными в него белками апопротеинами (A-I, С-</w:t>
      </w:r>
      <w:r>
        <w:rPr/>
        <w:t>II</w:t>
      </w:r>
      <w:r>
        <w:rPr/>
        <w:t xml:space="preserve">, Е). ЛПВП-предшественники практически не содержат ХС. Вначале, поступая в кровь, ЛПВП-предшественники отдают белки апо-CII и апо-E </w:t>
      </w:r>
      <w:r>
        <w:rPr>
          <w:rFonts w:cs="Times New Roman"/>
          <w:sz w:val="28"/>
          <w:szCs w:val="28"/>
        </w:rPr>
        <w:t>хиломикронам</w:t>
      </w:r>
      <w:r>
        <w:rPr/>
        <w:t xml:space="preserve"> и ЛПОНП. Затем, ЛПВП-предшественники принимают холестерол с мембран клеток и поверхности других липопротеинов (в основном: ЛПНП). Для этого к поверхности ЛПВП прикрепляется фермент лецитин-холестерол-ацилтрансфераза (ЛХАТ), поступающий в ЛПВП из крови. Активатор ЛХАТ – белок апо-AI, который располагается на поверхности ЛПВП. ХС перемещается в оболочку ЛПВП-предшественник</w:t>
      </w:r>
      <w:r>
        <w:rPr/>
        <w:t>а</w:t>
      </w:r>
      <w:r>
        <w:rPr/>
        <w:t xml:space="preserve"> путем облегченной диффузии при участии белка ABC1 (АТФ-связывающий кассетный белок). </w:t>
      </w:r>
      <w:r>
        <w:rPr>
          <w:rFonts w:cs="Times New Roman"/>
          <w:sz w:val="28"/>
          <w:szCs w:val="28"/>
        </w:rPr>
        <w:t>Холестерол</w:t>
      </w:r>
      <w:r>
        <w:rPr/>
        <w:t>, поступающий в оболочку ЛПВП-предшественник</w:t>
      </w:r>
      <w:r>
        <w:rPr/>
        <w:t>а,</w:t>
      </w:r>
      <w:r>
        <w:rPr/>
        <w:t xml:space="preserve"> вступает в реакцию этерификации, которую катализирует ЛХАТ.</w:t>
      </w:r>
    </w:p>
    <w:p>
      <w:pPr>
        <w:pStyle w:val="Normal"/>
        <w:ind w:hanging="0"/>
        <w:rPr/>
      </w:pPr>
      <w:r>
        <w:rPr/>
        <w:t xml:space="preserve">В результате этой реакции образуются </w:t>
      </w:r>
      <w:r>
        <w:rPr>
          <w:rFonts w:cs="Times New Roman"/>
          <w:sz w:val="28"/>
          <w:szCs w:val="28"/>
        </w:rPr>
        <w:t>эфиры холестерола</w:t>
      </w:r>
      <w:r>
        <w:rPr/>
        <w:t>, которые погружаются в гидрофобное ядро ЛПВП. Таким образом, в оболочке ЛПВП-предшественник</w:t>
      </w:r>
      <w:r>
        <w:rPr/>
        <w:t>а</w:t>
      </w:r>
      <w:r>
        <w:rPr/>
        <w:t xml:space="preserve"> освобождается место для поступления следующей порции ХС. По мере наполнения гидрофобного ядра эфирами холестерола ЛПВП-предшественник</w:t>
      </w:r>
      <w:r>
        <w:rPr/>
        <w:t>и</w:t>
      </w:r>
      <w:r>
        <w:rPr/>
        <w:t xml:space="preserve"> приобретают сферическую форму и превращаются в ЛПВП</w:t>
      </w:r>
      <w:r>
        <w:rPr>
          <w:vertAlign w:val="subscript"/>
        </w:rPr>
        <w:t>3</w:t>
      </w:r>
      <w:r>
        <w:rPr/>
        <w:t xml:space="preserve">: </w:t>
      </w:r>
    </w:p>
    <w:p>
      <w:pPr>
        <w:pStyle w:val="Normal"/>
        <w:ind w:hanging="0"/>
        <w:rPr/>
      </w:pPr>
      <w:r>
        <w:drawing>
          <wp:anchor behindDoc="0" distT="0" distB="0" distL="0" distR="0" simplePos="0" locked="0" layoutInCell="0" allowOverlap="1" relativeHeight="11">
            <wp:simplePos x="0" y="0"/>
            <wp:positionH relativeFrom="column">
              <wp:posOffset>-120015</wp:posOffset>
            </wp:positionH>
            <wp:positionV relativeFrom="paragraph">
              <wp:posOffset>120015</wp:posOffset>
            </wp:positionV>
            <wp:extent cx="6299835" cy="32296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299835" cy="3229610"/>
                    </a:xfrm>
                    <a:prstGeom prst="rect">
                      <a:avLst/>
                    </a:prstGeom>
                  </pic:spPr>
                </pic:pic>
              </a:graphicData>
            </a:graphic>
          </wp:anchor>
        </w:drawing>
      </w:r>
      <w:r>
        <w:rPr/>
        <w:t>О</w:t>
      </w:r>
      <w:r>
        <w:rPr/>
        <w:t>бразованный лизолецитин связывается с альбумином и уносится с поверхности ЛПВП</w:t>
      </w:r>
      <w:r>
        <w:rPr>
          <w:vertAlign w:val="subscript"/>
        </w:rPr>
        <w:t>3</w:t>
      </w:r>
      <w:r>
        <w:rPr/>
        <w:t xml:space="preserve"> током крови. Далее происходит обмен ЭХС на ТАГ между ЛПВП</w:t>
      </w:r>
      <w:r>
        <w:rPr>
          <w:vertAlign w:val="subscript"/>
        </w:rPr>
        <w:t>3</w:t>
      </w:r>
      <w:r>
        <w:rPr/>
        <w:t xml:space="preserve"> и ЛПОНП или ЛППП. ЭХС поступают из ЛПВП</w:t>
      </w:r>
      <w:r>
        <w:rPr>
          <w:vertAlign w:val="subscript"/>
        </w:rPr>
        <w:t>3</w:t>
      </w:r>
      <w:r>
        <w:rPr/>
        <w:t xml:space="preserve"> на ЛПОНП или ЛППП с помощью апо-D-белка – белка, переносящего ЭХС (БПЭХ). А обратно из ЛПОНП или ЛППП – ЛПВП</w:t>
      </w:r>
      <w:r>
        <w:rPr>
          <w:vertAlign w:val="subscript"/>
        </w:rPr>
        <w:t>3</w:t>
      </w:r>
      <w:r>
        <w:rPr/>
        <w:t xml:space="preserve"> получают ТАГ и фосфолипиды. </w:t>
      </w:r>
      <w:r>
        <w:rPr/>
        <w:t xml:space="preserve">Из-за чего </w:t>
      </w:r>
      <w:r>
        <w:rPr/>
        <w:t>ЛПВП увеличиваются в размере и превращаются в ЛПВП</w:t>
      </w:r>
      <w:r>
        <w:rPr>
          <w:vertAlign w:val="subscript"/>
        </w:rPr>
        <w:t>2</w:t>
      </w:r>
      <w:r>
        <w:rPr/>
        <w:t>. ЛПВП</w:t>
      </w:r>
      <w:r>
        <w:rPr>
          <w:vertAlign w:val="subscript"/>
        </w:rPr>
        <w:t>2</w:t>
      </w:r>
      <w:r>
        <w:rPr/>
        <w:t xml:space="preserve"> подвергаются действию печеночной липазы, которая гидролизует жиры в ЛПВП</w:t>
      </w:r>
      <w:r>
        <w:rPr>
          <w:vertAlign w:val="subscript"/>
        </w:rPr>
        <w:t>2</w:t>
      </w:r>
      <w:r>
        <w:rPr/>
        <w:t>, и превращается обратно в ЛПВП</w:t>
      </w:r>
      <w:r>
        <w:rPr>
          <w:vertAlign w:val="subscript"/>
        </w:rPr>
        <w:t>3</w:t>
      </w:r>
      <w:r>
        <w:rPr/>
        <w:t xml:space="preserve">, которые могут продолжать забирать ХС из тканей и </w:t>
      </w:r>
      <w:r>
        <w:rPr>
          <w:rFonts w:cs="Times New Roman"/>
          <w:sz w:val="28"/>
          <w:szCs w:val="28"/>
        </w:rPr>
        <w:t>липопротеинов</w:t>
      </w:r>
      <w:r>
        <w:rPr/>
        <w:t>. Поступление ЭХС, собранных с помощью ЛПВП, в печень происходит несколькими путями:</w:t>
      </w:r>
    </w:p>
    <w:p>
      <w:pPr>
        <w:pStyle w:val="Normal"/>
        <w:numPr>
          <w:ilvl w:val="0"/>
          <w:numId w:val="6"/>
        </w:numPr>
        <w:rPr/>
      </w:pPr>
      <w:r>
        <w:rPr/>
        <w:t>ЛПОНП и ЛППП под действием ЛП-липазы превращаются в ЛПНП, которые доставляют ХС в печень;</w:t>
      </w:r>
    </w:p>
    <w:p>
      <w:pPr>
        <w:pStyle w:val="Normal"/>
        <w:numPr>
          <w:ilvl w:val="0"/>
          <w:numId w:val="6"/>
        </w:numPr>
        <w:rPr/>
      </w:pPr>
      <w:r>
        <w:rPr/>
        <w:t>ЛПВП</w:t>
      </w:r>
      <w:r>
        <w:rPr>
          <w:vertAlign w:val="subscript"/>
        </w:rPr>
        <w:t>2</w:t>
      </w:r>
      <w:r>
        <w:rPr/>
        <w:t xml:space="preserve"> взаимодействуют со скэвенджер-рецепторами печени и ЭХС переносятся непосредственно с ЛПВП</w:t>
      </w:r>
      <w:r>
        <w:rPr>
          <w:vertAlign w:val="subscript"/>
        </w:rPr>
        <w:t>2</w:t>
      </w:r>
      <w:r>
        <w:rPr/>
        <w:t xml:space="preserve"> в гепатоциты после действия на ЛПВП</w:t>
      </w:r>
      <w:r>
        <w:rPr>
          <w:vertAlign w:val="subscript"/>
        </w:rPr>
        <w:t>2</w:t>
      </w:r>
      <w:r>
        <w:rPr/>
        <w:t xml:space="preserve"> печеночной липазы;</w:t>
      </w:r>
    </w:p>
    <w:p>
      <w:pPr>
        <w:pStyle w:val="Normal"/>
        <w:numPr>
          <w:ilvl w:val="0"/>
          <w:numId w:val="6"/>
        </w:numPr>
        <w:rPr/>
      </w:pPr>
      <w:r>
        <w:rPr/>
        <w:t>В меньшей степени: Взаимодействие ЛПВП</w:t>
      </w:r>
      <w:r>
        <w:rPr>
          <w:vertAlign w:val="subscript"/>
        </w:rPr>
        <w:t>2</w:t>
      </w:r>
      <w:r>
        <w:rPr/>
        <w:t xml:space="preserve"> со специфическими рецепторами печени, комплементарными белкам апо-E и апо-AI и поглощение их путем рецептор-опосредованного эндоцитоза.</w:t>
      </w:r>
    </w:p>
    <w:p>
      <w:pPr>
        <w:pStyle w:val="Normal"/>
        <w:ind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299835" cy="463232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299835" cy="4632325"/>
                    </a:xfrm>
                    <a:prstGeom prst="rect">
                      <a:avLst/>
                    </a:prstGeom>
                  </pic:spPr>
                </pic:pic>
              </a:graphicData>
            </a:graphic>
          </wp:anchor>
        </w:drawing>
      </w:r>
    </w:p>
    <w:p>
      <w:pPr>
        <w:pStyle w:val="Normal"/>
        <w:ind w:hanging="0"/>
        <w:rPr/>
      </w:pPr>
      <w:r>
        <w:rPr/>
        <w:t xml:space="preserve">Таким образом, ЛПВП освобождают от избытка холестерола клеточные мембраны и липопротеины, </w:t>
      </w:r>
      <w:r>
        <w:rPr/>
        <w:t>следовательно,</w:t>
      </w:r>
      <w:r>
        <w:rPr/>
        <w:t xml:space="preserve"> снижают вероятность развития гиперхолестеролемии и атеросклероза. Весь избыток ХС, поступившего в печень, выводится из организма с </w:t>
      </w:r>
      <w:r>
        <w:rPr>
          <w:rFonts w:cs="Times New Roman"/>
          <w:sz w:val="28"/>
          <w:szCs w:val="28"/>
        </w:rPr>
        <w:t>продуктами жизнедеятельности,</w:t>
      </w:r>
      <w:r>
        <w:rPr/>
        <w:t xml:space="preserve"> в основном, в виде желчных кислот.</w:t>
      </w:r>
    </w:p>
    <w:p>
      <w:pPr>
        <w:pStyle w:val="Heading2"/>
        <w:rPr/>
      </w:pPr>
      <w:r>
        <w:rPr/>
        <w:t xml:space="preserve">1.2 </w:t>
      </w:r>
      <w:r>
        <w:rPr/>
        <w:t>Клиническая диагностика</w:t>
      </w:r>
    </w:p>
    <w:p>
      <w:pPr>
        <w:pStyle w:val="Normal"/>
        <w:rPr/>
      </w:pPr>
      <w:r>
        <w:rPr/>
        <w:t xml:space="preserve">Многие люди с семейной гиперхолестеринемией </w:t>
      </w:r>
      <w:r>
        <w:rPr/>
        <w:t>могут</w:t>
      </w:r>
      <w:r>
        <w:rPr/>
        <w:t xml:space="preserve"> не име</w:t>
      </w:r>
      <w:r>
        <w:rPr>
          <w:rFonts w:cs="Times New Roman"/>
          <w:sz w:val="28"/>
          <w:szCs w:val="28"/>
        </w:rPr>
        <w:t>ть явных</w:t>
      </w:r>
      <w:r>
        <w:rPr/>
        <w:t xml:space="preserve"> симптомов </w:t>
      </w:r>
      <w:r>
        <w:rPr>
          <w:rFonts w:cs="Times New Roman"/>
          <w:sz w:val="28"/>
          <w:szCs w:val="28"/>
        </w:rPr>
        <w:t>до проявления</w:t>
      </w:r>
      <w:r>
        <w:rPr/>
        <w:t xml:space="preserve"> ишемическ</w:t>
      </w:r>
      <w:r>
        <w:rPr>
          <w:rFonts w:cs="Times New Roman"/>
          <w:sz w:val="28"/>
          <w:szCs w:val="28"/>
        </w:rPr>
        <w:t>ой</w:t>
      </w:r>
      <w:r>
        <w:rPr/>
        <w:t xml:space="preserve"> болезн</w:t>
      </w:r>
      <w:r>
        <w:rPr>
          <w:rFonts w:cs="Times New Roman"/>
          <w:sz w:val="28"/>
          <w:szCs w:val="28"/>
        </w:rPr>
        <w:t>и</w:t>
      </w:r>
      <w:r>
        <w:rPr/>
        <w:t xml:space="preserve"> сердца, инсульт</w:t>
      </w:r>
      <w:r>
        <w:rPr/>
        <w:t>а</w:t>
      </w:r>
      <w:r>
        <w:rPr/>
        <w:t xml:space="preserve"> или заболевани</w:t>
      </w:r>
      <w:r>
        <w:rPr>
          <w:rFonts w:cs="Times New Roman"/>
          <w:sz w:val="28"/>
          <w:szCs w:val="28"/>
        </w:rPr>
        <w:t>й</w:t>
      </w:r>
      <w:r>
        <w:rPr/>
        <w:t xml:space="preserve"> периферических артерий. СГХС может вызвать появление характерных жировых отложений вокруг локтей, коленей, вдоль сухожилий и вокруг роговицы глаз. Эти жировые отложения называются ксантомами.</w:t>
      </w:r>
    </w:p>
    <w:p>
      <w:pPr>
        <w:pStyle w:val="Normal"/>
        <w:rPr/>
      </w:pPr>
      <w:r>
        <w:rPr/>
        <w:drawing>
          <wp:inline distT="0" distB="0" distL="0" distR="0">
            <wp:extent cx="2828925" cy="20859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828925" cy="2085975"/>
                    </a:xfrm>
                    <a:prstGeom prst="rect">
                      <a:avLst/>
                    </a:prstGeom>
                  </pic:spPr>
                </pic:pic>
              </a:graphicData>
            </a:graphic>
          </wp:inline>
        </w:drawing>
      </w:r>
    </w:p>
    <w:p>
      <w:pPr>
        <w:pStyle w:val="Normal"/>
        <w:ind w:hanging="0"/>
        <w:rPr/>
      </w:pPr>
      <w:r>
        <w:rPr/>
        <w:t>Отложения холестерина на веках, называемые ксантелазмами, также распространены.</w:t>
      </w:r>
    </w:p>
    <w:p>
      <w:pPr>
        <w:pStyle w:val="Normal"/>
        <w:rPr/>
      </w:pPr>
      <w:r>
        <w:rPr/>
        <mc:AlternateContent>
          <mc:Choice Requires="wps">
            <w:drawing>
              <wp:inline distT="0" distB="0" distL="0" distR="0">
                <wp:extent cx="3556000" cy="2390775"/>
                <wp:effectExtent l="0" t="0" r="0" b="0"/>
                <wp:docPr id="10" name="Рисунок 5"/>
                <a:graphic xmlns:a="http://schemas.openxmlformats.org/drawingml/2006/main">
                  <a:graphicData uri="http://schemas.openxmlformats.org/drawingml/2006/picture">
                    <pic:pic xmlns:pic="http://schemas.openxmlformats.org/drawingml/2006/picture">
                      <pic:nvPicPr>
                        <pic:cNvPr id="0" name="Рисунок 5" descr=""/>
                        <pic:cNvPicPr/>
                      </pic:nvPicPr>
                      <pic:blipFill>
                        <a:blip r:embed="rId11"/>
                        <a:stretch/>
                      </pic:blipFill>
                      <pic:spPr>
                        <a:xfrm>
                          <a:off x="0" y="0"/>
                          <a:ext cx="3555360" cy="23900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5" stroked="f" style="position:absolute;margin-left:0pt;margin-top:-94.1pt;width:279.9pt;height:188.15pt;mso-wrap-style:none;v-text-anchor:middle;mso-position-vertical:center" type="shapetype_75">
                <v:imagedata r:id="rId11" o:detectmouseclick="t"/>
                <v:stroke color="#3465a4" joinstyle="round" endcap="flat"/>
                <w10:wrap type="topAndBottom"/>
              </v:shape>
            </w:pict>
          </mc:Fallback>
        </mc:AlternateContent>
      </w:r>
    </w:p>
    <w:p>
      <w:pPr>
        <w:pStyle w:val="Normal"/>
        <w:ind w:hanging="0"/>
        <w:rPr/>
      </w:pPr>
      <w:r>
        <w:rPr/>
        <w:t>Основными симптомами и признаками семейной гиперхолестеринемии являются:</w:t>
      </w:r>
    </w:p>
    <w:p>
      <w:pPr>
        <w:pStyle w:val="Normal"/>
        <w:numPr>
          <w:ilvl w:val="0"/>
          <w:numId w:val="8"/>
        </w:numPr>
        <w:rPr/>
      </w:pPr>
      <w:r>
        <w:rPr/>
        <w:t>Высокий уровень общего холестерина и холестерина ЛПНП.</w:t>
      </w:r>
    </w:p>
    <w:p>
      <w:pPr>
        <w:pStyle w:val="Normal"/>
        <w:numPr>
          <w:ilvl w:val="0"/>
          <w:numId w:val="0"/>
        </w:numPr>
        <w:ind w:left="720" w:hanging="0"/>
        <w:rPr/>
      </w:pPr>
      <w:r>
        <w:rPr>
          <w:rFonts w:cs="Times New Roman"/>
          <w:sz w:val="28"/>
          <w:szCs w:val="28"/>
        </w:rPr>
        <w:t>уровень</w:t>
      </w:r>
      <w:r>
        <w:rPr/>
        <w:t xml:space="preserve"> ХС </w:t>
      </w:r>
      <w:r>
        <w:rPr/>
        <w:t>в норме</w:t>
      </w:r>
      <w:r>
        <w:rPr/>
        <w:t>: 200+-50 мг/дл (5,2-1,2 ммоль/л)</w:t>
      </w:r>
    </w:p>
    <w:p>
      <w:pPr>
        <w:pStyle w:val="Normal"/>
        <w:numPr>
          <w:ilvl w:val="0"/>
          <w:numId w:val="0"/>
        </w:numPr>
        <w:ind w:left="720" w:hanging="0"/>
        <w:rPr/>
      </w:pPr>
      <w:r>
        <w:rPr>
          <w:rFonts w:cs="Times New Roman"/>
          <w:sz w:val="28"/>
          <w:szCs w:val="28"/>
        </w:rPr>
        <w:t>уровень</w:t>
      </w:r>
      <w:r>
        <w:rPr/>
        <w:t xml:space="preserve"> ХС  </w:t>
      </w:r>
      <w:r>
        <w:rPr>
          <w:rFonts w:cs="Times New Roman"/>
          <w:sz w:val="28"/>
          <w:szCs w:val="28"/>
        </w:rPr>
        <w:t>при</w:t>
      </w:r>
      <w:r>
        <w:rPr/>
        <w:t xml:space="preserve"> СГХС: 400-500 мг/дл (геторозигота 35-40 лет)</w:t>
      </w:r>
    </w:p>
    <w:p>
      <w:pPr>
        <w:pStyle w:val="Normal"/>
        <w:numPr>
          <w:ilvl w:val="0"/>
          <w:numId w:val="8"/>
        </w:numPr>
        <w:rPr/>
      </w:pPr>
      <w:r>
        <w:rPr/>
        <w:t>Сильный семейный анамнез высокого уровня общего холестерина и холестерина ЛПНП и/или раннего сердечного приступа.</w:t>
      </w:r>
    </w:p>
    <w:p>
      <w:pPr>
        <w:pStyle w:val="Normal"/>
        <w:numPr>
          <w:ilvl w:val="0"/>
          <w:numId w:val="8"/>
        </w:numPr>
        <w:rPr/>
      </w:pPr>
      <w:r>
        <w:rPr/>
        <w:t>Повышенные и устойчивые к терапии уровни ЛПНП у одного или обоих родителей.</w:t>
      </w:r>
    </w:p>
    <w:p>
      <w:pPr>
        <w:pStyle w:val="Normal"/>
        <w:numPr>
          <w:ilvl w:val="0"/>
          <w:numId w:val="8"/>
        </w:numPr>
        <w:rPr/>
      </w:pPr>
      <w:r>
        <w:rPr/>
        <w:t>Ксантомы (восковые отложения холестерина в коже или сухожилиях).</w:t>
      </w:r>
    </w:p>
    <w:p>
      <w:pPr>
        <w:pStyle w:val="Normal"/>
        <w:numPr>
          <w:ilvl w:val="0"/>
          <w:numId w:val="8"/>
        </w:numPr>
        <w:rPr/>
      </w:pPr>
      <w:r>
        <w:rPr/>
        <w:t>Ксантелазма (отложения холестерина в веках).</w:t>
      </w:r>
    </w:p>
    <w:p>
      <w:pPr>
        <w:pStyle w:val="Normal"/>
        <w:numPr>
          <w:ilvl w:val="0"/>
          <w:numId w:val="8"/>
        </w:numPr>
        <w:rPr/>
      </w:pPr>
      <w:r>
        <w:rPr/>
        <w:t>Дуга роговицы (отложение холестерина в уголке глаза).</w:t>
      </w:r>
    </w:p>
    <w:p>
      <w:pPr>
        <w:pStyle w:val="Normal"/>
        <w:numPr>
          <w:ilvl w:val="0"/>
          <w:numId w:val="8"/>
        </w:numPr>
        <w:rPr/>
      </w:pPr>
      <w:r>
        <w:rPr/>
        <w:t>Если присутствует стенокардия (боль в груди), это может быть признаком наличия сердечных заболеваний.</w:t>
      </w:r>
    </w:p>
    <w:p>
      <w:pPr>
        <w:pStyle w:val="Normal"/>
        <w:rPr/>
      </w:pPr>
      <w:r>
        <w:rPr/>
      </w:r>
    </w:p>
    <w:p>
      <w:pPr>
        <w:pStyle w:val="Normal"/>
        <w:rPr/>
      </w:pPr>
      <w:r>
        <w:rPr/>
        <mc:AlternateContent>
          <mc:Choice Requires="wps">
            <w:drawing>
              <wp:anchor behindDoc="0" distT="0" distB="0" distL="0" distR="0" simplePos="0" locked="0" layoutInCell="0" allowOverlap="1" relativeHeight="15">
                <wp:simplePos x="0" y="0"/>
                <wp:positionH relativeFrom="column">
                  <wp:posOffset>-589915</wp:posOffset>
                </wp:positionH>
                <wp:positionV relativeFrom="paragraph">
                  <wp:posOffset>24130</wp:posOffset>
                </wp:positionV>
                <wp:extent cx="2957830" cy="2664460"/>
                <wp:effectExtent l="0" t="0" r="0" b="0"/>
                <wp:wrapSquare wrapText="largest"/>
                <wp:docPr id="11" name="Рисунок 10"/>
                <a:graphic xmlns:a="http://schemas.openxmlformats.org/drawingml/2006/main">
                  <a:graphicData uri="http://schemas.openxmlformats.org/drawingml/2006/picture">
                    <pic:pic xmlns:pic="http://schemas.openxmlformats.org/drawingml/2006/picture">
                      <pic:nvPicPr>
                        <pic:cNvPr id="1" name="Рисунок 10" descr=""/>
                        <pic:cNvPicPr/>
                      </pic:nvPicPr>
                      <pic:blipFill>
                        <a:blip r:embed="rId12"/>
                        <a:stretch/>
                      </pic:blipFill>
                      <pic:spPr>
                        <a:xfrm>
                          <a:off x="0" y="0"/>
                          <a:ext cx="2957040" cy="2664000"/>
                        </a:xfrm>
                        <a:prstGeom prst="rect">
                          <a:avLst/>
                        </a:prstGeom>
                        <a:ln w="0">
                          <a:noFill/>
                        </a:ln>
                      </pic:spPr>
                    </pic:pic>
                  </a:graphicData>
                </a:graphic>
              </wp:anchor>
            </w:drawing>
          </mc:Choice>
          <mc:Fallback>
            <w:pict>
              <v:shape id="shape_0" ID="Рисунок 10" stroked="f" style="position:absolute;margin-left:-46.45pt;margin-top:1.9pt;width:232.8pt;height:209.7pt;mso-wrap-style:none;v-text-anchor:middle" type="shapetype_75">
                <v:imagedata r:id="rId12" o:detectmouseclick="t"/>
                <v:stroke color="#3465a4" joinstyle="round" endcap="flat"/>
                <w10:wrap type="square" side="right"/>
              </v:shape>
            </w:pict>
          </mc:Fallback>
        </mc:AlternateContent>
        <w:drawing>
          <wp:anchor behindDoc="0" distT="0" distB="0" distL="0" distR="0" simplePos="0" locked="0" layoutInCell="0" allowOverlap="1" relativeHeight="16">
            <wp:simplePos x="0" y="0"/>
            <wp:positionH relativeFrom="column">
              <wp:posOffset>3136900</wp:posOffset>
            </wp:positionH>
            <wp:positionV relativeFrom="paragraph">
              <wp:posOffset>130175</wp:posOffset>
            </wp:positionV>
            <wp:extent cx="3286125" cy="2530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3286125" cy="25304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У людей с гомозиготной семейной гиперхолестеринемией ксантомы развиваются под кожей на локтях, коленях и ягодицах, а также в сухожилиях в </w:t>
      </w:r>
      <w:r>
        <w:rPr>
          <w:rFonts w:cs="Times New Roman"/>
          <w:sz w:val="28"/>
          <w:szCs w:val="28"/>
        </w:rPr>
        <w:t>младенческом</w:t>
      </w:r>
      <w:r>
        <w:rPr/>
        <w:t xml:space="preserve"> возрасте. Сердечные приступы и смерть могут наступить до 30 лет.</w:t>
      </w:r>
    </w:p>
    <w:p>
      <w:pPr>
        <w:pStyle w:val="Normal"/>
        <w:rPr/>
      </w:pPr>
      <w:r>
        <w:rPr/>
      </w:r>
    </w:p>
    <w:p>
      <w:pPr>
        <w:pStyle w:val="Heading2"/>
        <w:rPr/>
      </w:pPr>
      <w:r>
        <w:rPr/>
        <w:t>1.</w:t>
      </w:r>
      <w:r>
        <w:rPr/>
        <w:t>3</w:t>
      </w:r>
      <w:r>
        <w:rPr/>
        <w:t>. Терапияhttps://www.ncbi.nlm.nih.gov/pmc/articles/PMC6159444/</w:t>
      </w:r>
    </w:p>
    <w:p>
      <w:pPr>
        <w:pStyle w:val="Normal"/>
        <w:ind w:hanging="0"/>
        <w:rPr/>
      </w:pPr>
      <w:r>
        <w:rPr/>
        <w:tab/>
        <w:t xml:space="preserve">Для снижения риска сердечно-сосудистых событий рекомендуется раннее выявление и лечение </w:t>
      </w:r>
      <w:r>
        <w:rPr>
          <w:rFonts w:cs="Times New Roman"/>
          <w:sz w:val="28"/>
          <w:szCs w:val="28"/>
        </w:rPr>
        <w:t>СГХС</w:t>
      </w:r>
      <w:r>
        <w:rPr/>
        <w:t xml:space="preserve">. Целью лечения является снижение уровня ЛПНП на 50% от исходного уровня. Это было основано на результатах двух исследований, которые показали снижение интимальной медиальной толщины сонной артерии у пациентов, достигших снижения уровня ЛПНП на 50% на терапии статинами. Изменение образа жизни, липидоснижающая терапия, аферез ЛПНП и в редких случаях трансплантация печени являются краеугольными камнями снижения уровня ЛПНП у пациентов с </w:t>
      </w:r>
      <w:r>
        <w:rPr>
          <w:rFonts w:cs="Times New Roman"/>
          <w:sz w:val="28"/>
          <w:szCs w:val="28"/>
        </w:rPr>
        <w:t>СГХС</w:t>
      </w:r>
      <w:r>
        <w:rPr/>
        <w:t>.</w:t>
      </w:r>
    </w:p>
    <w:p>
      <w:pPr>
        <w:pStyle w:val="Normal"/>
        <w:ind w:hanging="0"/>
        <w:rPr/>
      </w:pPr>
      <w:r>
        <w:rPr/>
        <w:t xml:space="preserve">Важно, чтобы врач знал о различных вариантах лечения </w:t>
      </w:r>
      <w:r>
        <w:rPr>
          <w:rFonts w:cs="Times New Roman"/>
          <w:sz w:val="28"/>
          <w:szCs w:val="28"/>
        </w:rPr>
        <w:t>СГХС</w:t>
      </w:r>
      <w:r>
        <w:rPr/>
        <w:t xml:space="preserve">, поскольку для достижения целевого снижения уровня ЛПНП потребуется комбинированная терапия. По данным исследователей, до 77% пациентов с диагнозом </w:t>
      </w:r>
      <w:r>
        <w:rPr>
          <w:rFonts w:cs="Times New Roman"/>
          <w:sz w:val="28"/>
          <w:szCs w:val="28"/>
        </w:rPr>
        <w:t>СГХС</w:t>
      </w:r>
      <w:r>
        <w:rPr/>
        <w:t xml:space="preserve">, принимающих лекарства от холестерина, не достигают целевого уровня ЛПНП в течение двух лет после постановки диагноза. Наиболее распространенной причиной </w:t>
      </w:r>
      <w:r>
        <w:rPr>
          <w:rFonts w:cs="Times New Roman"/>
          <w:sz w:val="28"/>
          <w:szCs w:val="28"/>
        </w:rPr>
        <w:t>неоптимального</w:t>
      </w:r>
      <w:r>
        <w:rPr/>
        <w:t xml:space="preserve"> контроля уровня холестерина у пациентов (32%) было "согласие" лечащего врача с неоптимальным уровнем ЛПНП. Другие причины </w:t>
      </w:r>
      <w:r>
        <w:rPr>
          <w:rFonts w:cs="Times New Roman"/>
          <w:sz w:val="28"/>
          <w:szCs w:val="28"/>
        </w:rPr>
        <w:t>неоптимального</w:t>
      </w:r>
      <w:r>
        <w:rPr/>
        <w:t xml:space="preserve"> контроля включают неправильное дозирование лекарств и поздний возраст постановки диагноза.</w:t>
      </w:r>
    </w:p>
    <w:p>
      <w:pPr>
        <w:pStyle w:val="Normal"/>
        <w:ind w:hanging="0"/>
        <w:rPr/>
      </w:pPr>
      <w:r>
        <w:rPr/>
        <w:t xml:space="preserve">Модификация образа жизни является основой лечения </w:t>
      </w:r>
      <w:r>
        <w:rPr>
          <w:rFonts w:cs="Times New Roman"/>
          <w:sz w:val="28"/>
          <w:szCs w:val="28"/>
        </w:rPr>
        <w:t>СГХС</w:t>
      </w:r>
      <w:r>
        <w:rPr/>
        <w:t xml:space="preserve">. Первичная профилактика, включающая консультирование по вопросам курения, избегания диабета и регулярной физической активности, является неотъемлемым компонентом лечения. Также рекомендуется направление к диетологам и диетологам соответствующей квалификации. Поощряется ежедневная физическая активность, а для пациентов с избыточным весом следует подчеркнуть необходимость достижения оптимального веса. На каждые 10 кг потерянного веса приходится 8 мг/дл снижения ЛПНП. Хотя модификация образа жизни является первым шагом в лечении пациентов с </w:t>
      </w:r>
      <w:r>
        <w:rPr>
          <w:rFonts w:cs="Times New Roman"/>
          <w:sz w:val="28"/>
          <w:szCs w:val="28"/>
        </w:rPr>
        <w:t>СГХС</w:t>
      </w:r>
      <w:r>
        <w:rPr/>
        <w:t xml:space="preserve">, одной этой стратегии будет недостаточно для достижения цели по </w:t>
      </w:r>
      <w:r>
        <w:rPr/>
        <w:t xml:space="preserve">снижению уровня </w:t>
      </w:r>
      <w:r>
        <w:rPr/>
        <w:t>ЛПНП. Модификация образа жизни максимум снизит концентрацию ЛПНП на 10-15%, и большинству пациентов потребуется дальнейшая фармакологическая терапия.</w:t>
      </w:r>
    </w:p>
    <w:p>
      <w:pPr>
        <w:pStyle w:val="Normal"/>
        <w:ind w:hanging="0"/>
        <w:rPr/>
      </w:pPr>
      <w:r>
        <w:rPr>
          <w:rFonts w:cs="Times New Roman"/>
          <w:sz w:val="28"/>
          <w:szCs w:val="28"/>
        </w:rPr>
        <w:t>В</w:t>
      </w:r>
      <w:r>
        <w:rPr/>
        <w:t xml:space="preserve"> фармокологической терапии  </w:t>
      </w:r>
      <w:r>
        <w:rPr>
          <w:rFonts w:cs="Times New Roman"/>
          <w:sz w:val="28"/>
          <w:szCs w:val="28"/>
        </w:rPr>
        <w:t xml:space="preserve">СГХС </w:t>
      </w:r>
      <w:r>
        <w:rPr>
          <w:rFonts w:cs="Times New Roman"/>
          <w:sz w:val="28"/>
          <w:szCs w:val="28"/>
        </w:rPr>
        <w:t xml:space="preserve">используют несколько групп лекарственных препаратов. К первой группе относятся статины. Статины ингибируют гидроксил-метилглутарил коэнзим А редуктазу (ГМГ-КоА-редуктаза), ключевой фермент в синтезе холестерина в печени, в конечном итоге снижая выработку ЛПНП. </w:t>
      </w:r>
    </w:p>
    <w:p>
      <w:pPr>
        <w:pStyle w:val="Normal"/>
        <w:ind w:hanging="0"/>
        <w:rPr>
          <w:color w:val="C9211E"/>
        </w:rPr>
      </w:pPr>
      <w:r>
        <w:rPr>
          <w:rFonts w:cs="Times New Roman"/>
          <w:color w:val="C9211E"/>
          <w:sz w:val="28"/>
          <w:szCs w:val="28"/>
        </w:rPr>
        <w:t>!!</w:t>
      </w:r>
      <w:r>
        <w:rPr>
          <w:rFonts w:cs="Times New Roman"/>
          <w:color w:val="C9211E"/>
          <w:sz w:val="28"/>
          <w:szCs w:val="28"/>
        </w:rPr>
        <w:t>Выше картинка синтеза мевалоната сослаться на нее!!</w:t>
      </w:r>
    </w:p>
    <w:p>
      <w:pPr>
        <w:pStyle w:val="Normal"/>
        <w:ind w:hanging="0"/>
        <w:rPr/>
      </w:pPr>
      <w:r>
        <w:rPr>
          <w:rFonts w:cs="Times New Roman"/>
          <w:sz w:val="28"/>
          <w:szCs w:val="28"/>
        </w:rPr>
        <w:t xml:space="preserve">Статины также приводят к повышению регуляции рецепторов ЛПНП, однако этот эффект ограничен из-за усиленной компенсаторной деградации таких рецепторов. У пациентов с </w:t>
      </w:r>
      <w:r>
        <w:rPr>
          <w:rFonts w:cs="Times New Roman"/>
          <w:sz w:val="28"/>
          <w:szCs w:val="28"/>
        </w:rPr>
        <w:t>СГХС</w:t>
      </w:r>
      <w:r>
        <w:rPr>
          <w:rFonts w:cs="Times New Roman"/>
          <w:sz w:val="28"/>
          <w:szCs w:val="28"/>
        </w:rPr>
        <w:t xml:space="preserve"> эффективность статинов снижается, поскольку механизм их действия связан с повышением уровня рецепторов ЛПНП в печени. Это касается также эзетимиба и секвестрантов желчных кислот.</w:t>
      </w:r>
    </w:p>
    <w:p>
      <w:pPr>
        <w:pStyle w:val="Normal"/>
        <w:ind w:hanging="0"/>
        <w:rPr/>
      </w:pPr>
      <w:r>
        <w:rPr>
          <w:rFonts w:cs="Times New Roman"/>
          <w:sz w:val="28"/>
          <w:szCs w:val="28"/>
        </w:rPr>
        <w:t>Помимо статинов часто используется эзетимиб (Ezetimibe). Эзетимиб - это селективный ингибитор абсорбции холестерина, который блокирует всасывание пищевого холестерина и доставку кишечного холестерина в печень, что приводит к понижению уровня ХС в организме. Статины и эзетимиб, принимаемые вместе, усиливают снижение уровня ЛПНП. Документально подтверждено, что снижение уровня ЛПНП-С составляет 10-40 процентов.</w:t>
      </w:r>
    </w:p>
    <w:p>
      <w:pPr>
        <w:pStyle w:val="Normal"/>
        <w:ind w:hanging="0"/>
        <w:rPr/>
      </w:pPr>
      <w:r>
        <w:rPr>
          <w:rFonts w:cs="Times New Roman"/>
          <w:sz w:val="28"/>
          <w:szCs w:val="28"/>
        </w:rPr>
        <w:t>К другой группе препаратов от СГХС относятся секвестранты желчных кислот. Они связывают холестерин в кишечнике, тем самым уменьшая абсорбцию ХС в кишечнике, усиливая его выведение и снижая энтерогепатический оборот желчных кислот и холестерина. Уменьшение количества желчных кислот приводит к компенсаторному увеличению конверсии холестерина в желчные кислоты, повышая экспрессию печеночных рецепторов ЛПНП и, следовательно, увеличивая печеночное удаление частиц ЛПНП из циркуляции. При СГХС секвестранты желчных кислот считаются препаратами второй линии терапии после лечения статинами и эзетимибом.</w:t>
      </w:r>
    </w:p>
    <w:p>
      <w:pPr>
        <w:pStyle w:val="Normal"/>
        <w:ind w:hanging="0"/>
        <w:rPr/>
      </w:pPr>
      <w:r>
        <w:rPr>
          <w:rFonts w:cs="Times New Roman"/>
          <w:sz w:val="28"/>
          <w:szCs w:val="28"/>
        </w:rPr>
        <w:t>Несколько лет назад в практике начали использовать ниацин, мипомерсен (ингибитор синтеза аполипопротеина-B), л</w:t>
      </w:r>
      <w:r>
        <w:rPr>
          <w:rFonts w:cs="Times New Roman"/>
          <w:color w:val="000000"/>
          <w:sz w:val="28"/>
          <w:szCs w:val="28"/>
        </w:rPr>
        <w:t xml:space="preserve">омитапид (ингибитор микросомального белка-переносчика) и </w:t>
      </w:r>
      <w:r>
        <w:rPr>
          <w:rFonts w:cs="Times New Roman"/>
          <w:b w:val="false"/>
          <w:i w:val="false"/>
          <w:caps w:val="false"/>
          <w:smallCaps w:val="false"/>
          <w:color w:val="000000"/>
          <w:spacing w:val="0"/>
          <w:sz w:val="28"/>
          <w:szCs w:val="28"/>
        </w:rPr>
        <w:t xml:space="preserve"> ингибиторы PCSK9 (</w:t>
      </w:r>
      <w:r>
        <w:rPr>
          <w:rFonts w:cs="Times New Roman"/>
          <w:b w:val="false"/>
          <w:i w:val="false"/>
          <w:caps w:val="false"/>
          <w:smallCaps w:val="false"/>
          <w:color w:val="000000"/>
          <w:spacing w:val="0"/>
          <w:sz w:val="28"/>
          <w:szCs w:val="28"/>
        </w:rPr>
        <w:t>Пропротеиновая конвертаза субтилизин-кексинового типа 9</w:t>
      </w:r>
      <w:r>
        <w:rPr>
          <w:rFonts w:cs="Times New Roman"/>
          <w:b w:val="false"/>
          <w:i w:val="false"/>
          <w:caps w:val="false"/>
          <w:smallCaps w:val="false"/>
          <w:color w:val="000000"/>
          <w:spacing w:val="0"/>
          <w:sz w:val="28"/>
          <w:szCs w:val="28"/>
        </w:rPr>
        <w:t>).</w:t>
      </w:r>
    </w:p>
    <w:p>
      <w:pPr>
        <w:pStyle w:val="Heading2"/>
        <w:rPr/>
      </w:pPr>
      <w:r>
        <w:rPr/>
        <w:t>1.</w:t>
      </w:r>
      <w:r>
        <w:rPr/>
        <w:t>4</w:t>
      </w:r>
      <w:r>
        <w:rPr/>
        <w:t>. Биоинформационные методы исследования заболеваний</w:t>
      </w:r>
    </w:p>
    <w:p>
      <w:pPr>
        <w:pStyle w:val="Normal"/>
        <w:ind w:hanging="0"/>
        <w:rPr/>
      </w:pPr>
      <w:r>
        <w:rPr/>
        <w:t xml:space="preserve">Биоинформационные методы </w:t>
      </w:r>
      <w:r>
        <w:rPr/>
        <w:t>широко используются д</w:t>
      </w:r>
      <w:r>
        <w:rPr/>
        <w:t xml:space="preserve">ля анализа генов предрасположенности к развитию заболеваний. </w:t>
      </w:r>
      <w:r>
        <w:rPr/>
        <w:t xml:space="preserve">К ним относят базы данных медицинской генетики  и </w:t>
      </w:r>
      <w:r>
        <w:rPr/>
        <w:t xml:space="preserve">онлайн инструменты биоинформатики: </w:t>
      </w:r>
      <w:r>
        <w:rPr/>
        <w:t>инструменты анализа последовательностей макромолекул, инструмент</w:t>
      </w:r>
      <w:r>
        <w:rPr>
          <w:rFonts w:cs="Times New Roman"/>
          <w:sz w:val="28"/>
          <w:szCs w:val="28"/>
        </w:rPr>
        <w:t>ы</w:t>
      </w:r>
      <w:r>
        <w:rPr/>
        <w:t xml:space="preserve"> для прогнозирования и оценки структуры молекул, инструменты аннотации генов, банки данных по белкам, нуклеиновым кислотам</w:t>
      </w:r>
      <w:r>
        <w:rPr/>
        <w:t xml:space="preserve">. </w:t>
      </w:r>
    </w:p>
    <w:p>
      <w:pPr>
        <w:pStyle w:val="Normal"/>
        <w:ind w:hanging="0"/>
        <w:rPr/>
      </w:pPr>
      <w:r>
        <w:rPr/>
        <w:t xml:space="preserve">Международным научным сообществом собраны и продолжают дополняться </w:t>
      </w:r>
      <w:r>
        <w:rPr/>
        <w:t xml:space="preserve">открытые базы данных по общей аннотации генома и транскриптома человека, например: Human Genome Resources at NCBI </w:t>
      </w:r>
      <w:r>
        <w:rPr/>
        <w:t>(https://www.ncbi.nlm.nih.gov/genome/guide/human)</w:t>
      </w:r>
      <w:r>
        <w:rPr/>
        <w:t xml:space="preserve">,  Ensembl (http://ensembl.org),  </w:t>
      </w:r>
      <w:r>
        <w:rPr/>
        <w:t>c</w:t>
      </w:r>
      <w:r>
        <w:rPr/>
        <w:t xml:space="preserve">правочная база данных белков человека </w:t>
      </w:r>
      <w:r>
        <w:rPr/>
        <w:t xml:space="preserve">HPRD </w:t>
      </w:r>
      <w:r>
        <w:rPr/>
        <w:t>(</w:t>
      </w:r>
      <w:hyperlink r:id="rId14">
        <w:r>
          <w:rPr>
            <w:rStyle w:val="InternetLink"/>
          </w:rPr>
          <w:t>http://hprd.org</w:t>
        </w:r>
      </w:hyperlink>
      <w:r>
        <w:rPr/>
        <w:t xml:space="preserve">) </w:t>
      </w:r>
      <w:r>
        <w:rPr/>
        <w:t>и PDB (https://www.rcsb.org)</w:t>
      </w:r>
      <w:r>
        <w:rPr/>
        <w:t xml:space="preserve"> , биохимических реакций KEGG (</w:t>
      </w:r>
      <w:hyperlink r:id="rId15">
        <w:r>
          <w:rPr>
            <w:rStyle w:val="InternetLink"/>
          </w:rPr>
          <w:t>http://www.genome.jp/kegg</w:t>
        </w:r>
      </w:hyperlink>
      <w:r>
        <w:rPr/>
        <w:t xml:space="preserve">). </w:t>
      </w:r>
      <w:r>
        <w:rPr>
          <w:rFonts w:cs="Times New Roman"/>
          <w:sz w:val="28"/>
          <w:szCs w:val="28"/>
        </w:rPr>
        <w:t>Б</w:t>
      </w:r>
      <w:r>
        <w:rPr/>
        <w:t xml:space="preserve">азу данных генов и фенотипов заболеваний OMIM (Online Mendelian Inheritance in Man, </w:t>
      </w:r>
      <w:hyperlink r:id="rId16">
        <w:r>
          <w:rPr>
            <w:rStyle w:val="InternetLink"/>
          </w:rPr>
          <w:t>https://omim.org/</w:t>
        </w:r>
      </w:hyperlink>
      <w:r>
        <w:rPr/>
        <w:t xml:space="preserve">) </w:t>
      </w:r>
      <w:r>
        <w:rPr/>
        <w:t xml:space="preserve">используется </w:t>
      </w:r>
      <w:r>
        <w:rPr>
          <w:rFonts w:cs="Times New Roman"/>
          <w:sz w:val="28"/>
          <w:szCs w:val="28"/>
        </w:rPr>
        <w:t>д</w:t>
      </w:r>
      <w:r>
        <w:rPr/>
        <w:t xml:space="preserve">ля получения базового списка генов человека, ассоциированных с заболеванием. </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jc w:val="center"/>
        <w:rPr/>
      </w:pPr>
      <w:r>
        <w:rPr/>
        <w:drawing>
          <wp:inline distT="0" distB="0" distL="0" distR="0">
            <wp:extent cx="2619375" cy="2447925"/>
            <wp:effectExtent l="0" t="0" r="0" b="0"/>
            <wp:docPr id="13" name="Рисунок 2" descr="Описание: C:\Users\SANYA\Desktop\Учеба\Диплом\ри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Описание: C:\Users\SANYA\Desktop\Учеба\Диплом\рис.JPG"/>
                    <pic:cNvPicPr>
                      <a:picLocks noChangeAspect="1" noChangeArrowheads="1"/>
                    </pic:cNvPicPr>
                  </pic:nvPicPr>
                  <pic:blipFill>
                    <a:blip r:embed="rId17"/>
                    <a:stretch>
                      <a:fillRect/>
                    </a:stretch>
                  </pic:blipFill>
                  <pic:spPr bwMode="auto">
                    <a:xfrm>
                      <a:off x="0" y="0"/>
                      <a:ext cx="2619375" cy="2447925"/>
                    </a:xfrm>
                    <a:prstGeom prst="rect">
                      <a:avLst/>
                    </a:prstGeom>
                  </pic:spPr>
                </pic:pic>
              </a:graphicData>
            </a:graphic>
          </wp:inline>
        </w:drawing>
      </w:r>
    </w:p>
    <w:p>
      <w:pPr>
        <w:pStyle w:val="Normal"/>
        <w:ind w:hanging="0"/>
        <w:rPr/>
      </w:pPr>
      <w:r>
        <w:rPr/>
        <w:t xml:space="preserve">Рисунок 1. Структура LlPR-10.2B (комплекс с дифенилмочевиной, лиганд не показан) (PDB 3е85) с двумя сайтами связывания Na+ вблизи петель L3 и L9 [28]. </w:t>
      </w:r>
    </w:p>
    <w:p>
      <w:pPr>
        <w:pStyle w:val="Normal"/>
        <w:ind w:hanging="0"/>
        <w:rPr>
          <w:i/>
          <w:i/>
          <w:color w:val="FF0000"/>
          <w:sz w:val="20"/>
          <w:szCs w:val="20"/>
        </w:rPr>
      </w:pPr>
      <w:r>
        <w:rPr>
          <w:i/>
          <w:color w:val="FF0000"/>
          <w:sz w:val="20"/>
          <w:szCs w:val="20"/>
        </w:rPr>
        <w:t>Подпись должна быть на одной странице с рисунком. Для этого допускается при необходимости уменьшить межстрочный интервал.</w:t>
      </w:r>
    </w:p>
    <w:p>
      <w:pPr>
        <w:pStyle w:val="Normal"/>
        <w:ind w:right="279" w:hanging="0"/>
        <w:rPr>
          <w:spacing w:val="6"/>
        </w:rPr>
      </w:pPr>
      <w:r>
        <w:rPr>
          <w:spacing w:val="6"/>
        </w:rPr>
        <w:t>Таблица 1. Количественный и качественный анализ используемых плазмидных конструкций</w:t>
      </w:r>
    </w:p>
    <w:p>
      <w:pPr>
        <w:pStyle w:val="Normal"/>
        <w:ind w:right="279" w:hanging="0"/>
        <w:rPr>
          <w:spacing w:val="6"/>
        </w:rPr>
      </w:pPr>
      <w:r>
        <w:rPr>
          <w:spacing w:val="6"/>
        </w:rPr>
      </w:r>
    </w:p>
    <w:tbl>
      <w:tblPr>
        <w:tblStyle w:val="a5"/>
        <w:tblW w:w="974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740"/>
        <w:gridCol w:w="2694"/>
        <w:gridCol w:w="1700"/>
        <w:gridCol w:w="1611"/>
      </w:tblGrid>
      <w:tr>
        <w:trPr/>
        <w:tc>
          <w:tcPr>
            <w:tcW w:w="3740" w:type="dxa"/>
            <w:tcBorders/>
          </w:tcPr>
          <w:p>
            <w:pPr>
              <w:pStyle w:val="Normal"/>
              <w:widowControl/>
              <w:spacing w:before="0" w:after="0"/>
              <w:ind w:right="34" w:hanging="0"/>
              <w:contextualSpacing/>
              <w:jc w:val="left"/>
              <w:rPr>
                <w:b/>
                <w:b/>
                <w:spacing w:val="6"/>
              </w:rPr>
            </w:pPr>
            <w:r>
              <w:rPr>
                <w:rFonts w:eastAsia=""/>
                <w:b/>
                <w:spacing w:val="6"/>
                <w:kern w:val="0"/>
                <w:lang w:val="ru-RU" w:eastAsia="ru-RU" w:bidi="ar-SA"/>
              </w:rPr>
              <w:t>Название плазмидной конструкции</w:t>
            </w:r>
          </w:p>
        </w:tc>
        <w:tc>
          <w:tcPr>
            <w:tcW w:w="2694" w:type="dxa"/>
            <w:tcBorders/>
          </w:tcPr>
          <w:p>
            <w:pPr>
              <w:pStyle w:val="Normal"/>
              <w:widowControl/>
              <w:spacing w:before="0" w:after="0"/>
              <w:ind w:hanging="0"/>
              <w:contextualSpacing/>
              <w:jc w:val="center"/>
              <w:rPr>
                <w:b/>
                <w:b/>
                <w:spacing w:val="6"/>
              </w:rPr>
            </w:pPr>
            <w:r>
              <w:rPr>
                <w:rFonts w:eastAsia=""/>
                <w:b/>
                <w:spacing w:val="6"/>
                <w:kern w:val="0"/>
                <w:lang w:val="ru-RU" w:eastAsia="ru-RU" w:bidi="ar-SA"/>
              </w:rPr>
              <w:t>Концентрация, нг/мкл</w:t>
            </w:r>
          </w:p>
        </w:tc>
        <w:tc>
          <w:tcPr>
            <w:tcW w:w="1700" w:type="dxa"/>
            <w:tcBorders/>
          </w:tcPr>
          <w:p>
            <w:pPr>
              <w:pStyle w:val="Normal"/>
              <w:widowControl/>
              <w:spacing w:before="0" w:after="0"/>
              <w:ind w:hanging="0"/>
              <w:contextualSpacing/>
              <w:jc w:val="center"/>
              <w:rPr>
                <w:b/>
                <w:b/>
                <w:spacing w:val="6"/>
              </w:rPr>
            </w:pPr>
            <w:r>
              <w:rPr>
                <w:rFonts w:eastAsia=""/>
                <w:b/>
                <w:spacing w:val="6"/>
                <w:kern w:val="0"/>
                <w:lang w:val="ru-RU" w:eastAsia="ru-RU" w:bidi="ar-SA"/>
              </w:rPr>
              <w:t>Объем, мкл</w:t>
            </w:r>
          </w:p>
        </w:tc>
        <w:tc>
          <w:tcPr>
            <w:tcW w:w="1611" w:type="dxa"/>
            <w:tcBorders/>
          </w:tcPr>
          <w:p>
            <w:pPr>
              <w:pStyle w:val="Normal"/>
              <w:widowControl/>
              <w:spacing w:before="0" w:after="0"/>
              <w:ind w:hanging="0"/>
              <w:contextualSpacing/>
              <w:jc w:val="center"/>
              <w:rPr>
                <w:b/>
                <w:b/>
                <w:spacing w:val="6"/>
              </w:rPr>
            </w:pPr>
            <w:r>
              <w:rPr>
                <w:rFonts w:eastAsia=""/>
                <w:b/>
                <w:spacing w:val="6"/>
                <w:kern w:val="0"/>
                <w:lang w:val="ru-RU" w:eastAsia="ru-RU" w:bidi="ar-SA"/>
              </w:rPr>
              <w:t>Чистота 260/280</w:t>
            </w:r>
          </w:p>
        </w:tc>
      </w:tr>
      <w:tr>
        <w:trPr/>
        <w:tc>
          <w:tcPr>
            <w:tcW w:w="3740" w:type="dxa"/>
            <w:tcBorders/>
          </w:tcPr>
          <w:p>
            <w:pPr>
              <w:pStyle w:val="Normal"/>
              <w:widowControl/>
              <w:tabs>
                <w:tab w:val="clear" w:pos="709"/>
                <w:tab w:val="left" w:pos="3491" w:leader="none"/>
              </w:tabs>
              <w:spacing w:before="0" w:after="0"/>
              <w:ind w:right="34" w:hanging="0"/>
              <w:contextualSpacing/>
              <w:jc w:val="left"/>
              <w:rPr>
                <w:spacing w:val="6"/>
              </w:rPr>
            </w:pPr>
            <w:r>
              <w:rPr>
                <w:rFonts w:eastAsia=""/>
                <w:spacing w:val="6"/>
                <w:kern w:val="0"/>
                <w:lang w:val="ru-RU" w:eastAsia="ru-RU" w:bidi="ar-SA"/>
              </w:rPr>
              <w:t>Плазмида, несущая ген N-белка</w:t>
            </w:r>
          </w:p>
        </w:tc>
        <w:tc>
          <w:tcPr>
            <w:tcW w:w="2694" w:type="dxa"/>
            <w:tcBorders/>
          </w:tcPr>
          <w:p>
            <w:pPr>
              <w:pStyle w:val="Normal"/>
              <w:widowControl/>
              <w:spacing w:before="0" w:after="0"/>
              <w:ind w:hanging="0"/>
              <w:contextualSpacing/>
              <w:jc w:val="center"/>
              <w:rPr>
                <w:spacing w:val="6"/>
              </w:rPr>
            </w:pPr>
            <w:r>
              <w:rPr>
                <w:rFonts w:eastAsia=""/>
                <w:spacing w:val="6"/>
                <w:kern w:val="0"/>
                <w:lang w:val="ru-RU" w:eastAsia="ru-RU" w:bidi="ar-SA"/>
              </w:rPr>
              <w:t>942,5</w:t>
            </w:r>
          </w:p>
        </w:tc>
        <w:tc>
          <w:tcPr>
            <w:tcW w:w="1700" w:type="dxa"/>
            <w:tcBorders/>
          </w:tcPr>
          <w:p>
            <w:pPr>
              <w:pStyle w:val="Normal"/>
              <w:widowControl/>
              <w:spacing w:before="0" w:after="0"/>
              <w:ind w:right="278" w:hanging="0"/>
              <w:contextualSpacing/>
              <w:jc w:val="center"/>
              <w:rPr>
                <w:spacing w:val="6"/>
              </w:rPr>
            </w:pPr>
            <w:r>
              <w:rPr>
                <w:rFonts w:eastAsia=""/>
                <w:spacing w:val="6"/>
                <w:kern w:val="0"/>
                <w:lang w:val="ru-RU" w:eastAsia="ru-RU" w:bidi="ar-SA"/>
              </w:rPr>
              <w:t>200</w:t>
            </w:r>
          </w:p>
        </w:tc>
        <w:tc>
          <w:tcPr>
            <w:tcW w:w="1611" w:type="dxa"/>
            <w:tcBorders/>
          </w:tcPr>
          <w:p>
            <w:pPr>
              <w:pStyle w:val="Normal"/>
              <w:widowControl/>
              <w:spacing w:before="0" w:after="0"/>
              <w:ind w:right="278" w:hanging="0"/>
              <w:contextualSpacing/>
              <w:jc w:val="center"/>
              <w:rPr>
                <w:spacing w:val="6"/>
              </w:rPr>
            </w:pPr>
            <w:r>
              <w:rPr>
                <w:rFonts w:eastAsia=""/>
                <w:spacing w:val="6"/>
                <w:kern w:val="0"/>
                <w:lang w:val="ru-RU" w:eastAsia="ru-RU" w:bidi="ar-SA"/>
              </w:rPr>
              <w:t>1,91</w:t>
            </w:r>
          </w:p>
        </w:tc>
      </w:tr>
      <w:tr>
        <w:trPr/>
        <w:tc>
          <w:tcPr>
            <w:tcW w:w="3740" w:type="dxa"/>
            <w:tcBorders/>
          </w:tcPr>
          <w:p>
            <w:pPr>
              <w:pStyle w:val="Normal"/>
              <w:widowControl/>
              <w:tabs>
                <w:tab w:val="clear" w:pos="709"/>
                <w:tab w:val="left" w:pos="3491" w:leader="none"/>
              </w:tabs>
              <w:spacing w:before="0" w:after="0"/>
              <w:ind w:right="34" w:hanging="0"/>
              <w:contextualSpacing/>
              <w:jc w:val="left"/>
              <w:rPr>
                <w:spacing w:val="6"/>
              </w:rPr>
            </w:pPr>
            <w:r>
              <w:rPr>
                <w:rFonts w:eastAsia=""/>
                <w:spacing w:val="6"/>
                <w:kern w:val="0"/>
                <w:lang w:val="ru-RU" w:eastAsia="ru-RU" w:bidi="ar-SA"/>
              </w:rPr>
              <w:t>Плазмида, несущая ген P-белка</w:t>
            </w:r>
          </w:p>
        </w:tc>
        <w:tc>
          <w:tcPr>
            <w:tcW w:w="2694" w:type="dxa"/>
            <w:tcBorders/>
          </w:tcPr>
          <w:p>
            <w:pPr>
              <w:pStyle w:val="Normal"/>
              <w:widowControl/>
              <w:spacing w:before="0" w:after="0"/>
              <w:ind w:hanging="0"/>
              <w:contextualSpacing/>
              <w:jc w:val="center"/>
              <w:rPr>
                <w:spacing w:val="6"/>
              </w:rPr>
            </w:pPr>
            <w:r>
              <w:rPr>
                <w:rFonts w:eastAsia=""/>
                <w:spacing w:val="6"/>
                <w:kern w:val="0"/>
                <w:lang w:val="ru-RU" w:eastAsia="ru-RU" w:bidi="ar-SA"/>
              </w:rPr>
              <w:t>1033,2</w:t>
            </w:r>
          </w:p>
        </w:tc>
        <w:tc>
          <w:tcPr>
            <w:tcW w:w="1700" w:type="dxa"/>
            <w:tcBorders/>
          </w:tcPr>
          <w:p>
            <w:pPr>
              <w:pStyle w:val="Normal"/>
              <w:widowControl/>
              <w:spacing w:before="0" w:after="0"/>
              <w:ind w:hanging="0"/>
              <w:contextualSpacing/>
              <w:jc w:val="center"/>
              <w:rPr>
                <w:spacing w:val="6"/>
              </w:rPr>
            </w:pPr>
            <w:r>
              <w:rPr>
                <w:rFonts w:eastAsia=""/>
                <w:spacing w:val="6"/>
                <w:kern w:val="0"/>
                <w:lang w:val="ru-RU" w:eastAsia="ru-RU" w:bidi="ar-SA"/>
              </w:rPr>
              <w:t>200</w:t>
            </w:r>
          </w:p>
        </w:tc>
        <w:tc>
          <w:tcPr>
            <w:tcW w:w="1611" w:type="dxa"/>
            <w:tcBorders/>
          </w:tcPr>
          <w:p>
            <w:pPr>
              <w:pStyle w:val="Normal"/>
              <w:widowControl/>
              <w:spacing w:before="0" w:after="0"/>
              <w:ind w:hanging="0"/>
              <w:contextualSpacing/>
              <w:jc w:val="center"/>
              <w:rPr>
                <w:spacing w:val="6"/>
              </w:rPr>
            </w:pPr>
            <w:r>
              <w:rPr>
                <w:rFonts w:eastAsia=""/>
                <w:spacing w:val="6"/>
                <w:kern w:val="0"/>
                <w:lang w:val="ru-RU" w:eastAsia="ru-RU" w:bidi="ar-SA"/>
              </w:rPr>
              <w:t>1,92</w:t>
            </w:r>
          </w:p>
        </w:tc>
      </w:tr>
      <w:tr>
        <w:trPr/>
        <w:tc>
          <w:tcPr>
            <w:tcW w:w="3740" w:type="dxa"/>
            <w:tcBorders/>
          </w:tcPr>
          <w:p>
            <w:pPr>
              <w:pStyle w:val="Normal"/>
              <w:widowControl/>
              <w:tabs>
                <w:tab w:val="clear" w:pos="709"/>
                <w:tab w:val="left" w:pos="3491" w:leader="none"/>
              </w:tabs>
              <w:spacing w:before="0" w:after="0"/>
              <w:ind w:right="34" w:hanging="0"/>
              <w:contextualSpacing/>
              <w:jc w:val="left"/>
              <w:rPr>
                <w:spacing w:val="6"/>
              </w:rPr>
            </w:pPr>
            <w:r>
              <w:rPr>
                <w:rFonts w:eastAsia=""/>
                <w:spacing w:val="6"/>
                <w:kern w:val="0"/>
                <w:lang w:val="ru-RU" w:eastAsia="ru-RU" w:bidi="ar-SA"/>
              </w:rPr>
              <w:t>Плазмида, несущая ген L-белка</w:t>
            </w:r>
          </w:p>
        </w:tc>
        <w:tc>
          <w:tcPr>
            <w:tcW w:w="2694" w:type="dxa"/>
            <w:tcBorders/>
          </w:tcPr>
          <w:p>
            <w:pPr>
              <w:pStyle w:val="Normal"/>
              <w:widowControl/>
              <w:spacing w:before="0" w:after="0"/>
              <w:ind w:hanging="0"/>
              <w:contextualSpacing/>
              <w:jc w:val="center"/>
              <w:rPr>
                <w:spacing w:val="6"/>
              </w:rPr>
            </w:pPr>
            <w:r>
              <w:rPr>
                <w:rFonts w:eastAsia=""/>
                <w:spacing w:val="6"/>
                <w:kern w:val="0"/>
                <w:lang w:val="ru-RU" w:eastAsia="ru-RU" w:bidi="ar-SA"/>
              </w:rPr>
              <w:t>976,6</w:t>
            </w:r>
          </w:p>
        </w:tc>
        <w:tc>
          <w:tcPr>
            <w:tcW w:w="1700" w:type="dxa"/>
            <w:tcBorders/>
          </w:tcPr>
          <w:p>
            <w:pPr>
              <w:pStyle w:val="Normal"/>
              <w:widowControl/>
              <w:spacing w:before="0" w:after="0"/>
              <w:ind w:hanging="0"/>
              <w:contextualSpacing/>
              <w:jc w:val="center"/>
              <w:rPr>
                <w:spacing w:val="6"/>
              </w:rPr>
            </w:pPr>
            <w:r>
              <w:rPr>
                <w:rFonts w:eastAsia=""/>
                <w:spacing w:val="6"/>
                <w:kern w:val="0"/>
                <w:lang w:val="ru-RU" w:eastAsia="ru-RU" w:bidi="ar-SA"/>
              </w:rPr>
              <w:t>200</w:t>
            </w:r>
          </w:p>
        </w:tc>
        <w:tc>
          <w:tcPr>
            <w:tcW w:w="1611" w:type="dxa"/>
            <w:tcBorders/>
          </w:tcPr>
          <w:p>
            <w:pPr>
              <w:pStyle w:val="Normal"/>
              <w:widowControl/>
              <w:spacing w:before="0" w:after="0"/>
              <w:ind w:hanging="0"/>
              <w:contextualSpacing/>
              <w:jc w:val="center"/>
              <w:rPr>
                <w:spacing w:val="6"/>
              </w:rPr>
            </w:pPr>
            <w:r>
              <w:rPr>
                <w:rFonts w:eastAsia=""/>
                <w:spacing w:val="6"/>
                <w:kern w:val="0"/>
                <w:lang w:val="ru-RU" w:eastAsia="ru-RU" w:bidi="ar-SA"/>
              </w:rPr>
              <w:t>1,90</w:t>
            </w:r>
          </w:p>
        </w:tc>
      </w:tr>
      <w:tr>
        <w:trPr/>
        <w:tc>
          <w:tcPr>
            <w:tcW w:w="3740" w:type="dxa"/>
            <w:tcBorders/>
          </w:tcPr>
          <w:p>
            <w:pPr>
              <w:pStyle w:val="Normal"/>
              <w:widowControl/>
              <w:tabs>
                <w:tab w:val="clear" w:pos="709"/>
                <w:tab w:val="left" w:pos="3491" w:leader="none"/>
              </w:tabs>
              <w:spacing w:before="0" w:after="0"/>
              <w:ind w:right="34" w:hanging="0"/>
              <w:contextualSpacing/>
              <w:jc w:val="left"/>
              <w:rPr>
                <w:spacing w:val="6"/>
              </w:rPr>
            </w:pPr>
            <w:r>
              <w:rPr>
                <w:rFonts w:eastAsia=""/>
                <w:spacing w:val="6"/>
                <w:kern w:val="0"/>
                <w:lang w:val="ru-RU" w:eastAsia="ru-RU" w:bidi="ar-SA"/>
              </w:rPr>
              <w:t>Плазмида, несущая ген G-белка</w:t>
            </w:r>
          </w:p>
        </w:tc>
        <w:tc>
          <w:tcPr>
            <w:tcW w:w="2694" w:type="dxa"/>
            <w:tcBorders/>
          </w:tcPr>
          <w:p>
            <w:pPr>
              <w:pStyle w:val="Normal"/>
              <w:widowControl/>
              <w:spacing w:before="0" w:after="0"/>
              <w:ind w:hanging="0"/>
              <w:contextualSpacing/>
              <w:jc w:val="center"/>
              <w:rPr>
                <w:spacing w:val="6"/>
              </w:rPr>
            </w:pPr>
            <w:r>
              <w:rPr>
                <w:rFonts w:eastAsia=""/>
                <w:spacing w:val="6"/>
                <w:kern w:val="0"/>
                <w:lang w:val="ru-RU" w:eastAsia="ru-RU" w:bidi="ar-SA"/>
              </w:rPr>
              <w:t>1186,2</w:t>
            </w:r>
          </w:p>
        </w:tc>
        <w:tc>
          <w:tcPr>
            <w:tcW w:w="1700" w:type="dxa"/>
            <w:tcBorders/>
          </w:tcPr>
          <w:p>
            <w:pPr>
              <w:pStyle w:val="Normal"/>
              <w:widowControl/>
              <w:spacing w:before="0" w:after="0"/>
              <w:ind w:hanging="0"/>
              <w:contextualSpacing/>
              <w:jc w:val="center"/>
              <w:rPr>
                <w:spacing w:val="6"/>
              </w:rPr>
            </w:pPr>
            <w:r>
              <w:rPr>
                <w:rFonts w:eastAsia=""/>
                <w:spacing w:val="6"/>
                <w:kern w:val="0"/>
                <w:lang w:val="ru-RU" w:eastAsia="ru-RU" w:bidi="ar-SA"/>
              </w:rPr>
              <w:t>200</w:t>
            </w:r>
          </w:p>
        </w:tc>
        <w:tc>
          <w:tcPr>
            <w:tcW w:w="1611" w:type="dxa"/>
            <w:tcBorders/>
          </w:tcPr>
          <w:p>
            <w:pPr>
              <w:pStyle w:val="Normal"/>
              <w:widowControl/>
              <w:spacing w:before="0" w:after="0"/>
              <w:ind w:hanging="0"/>
              <w:contextualSpacing/>
              <w:jc w:val="center"/>
              <w:rPr>
                <w:spacing w:val="6"/>
              </w:rPr>
            </w:pPr>
            <w:r>
              <w:rPr>
                <w:rFonts w:eastAsia=""/>
                <w:spacing w:val="6"/>
                <w:kern w:val="0"/>
                <w:lang w:val="ru-RU" w:eastAsia="ru-RU" w:bidi="ar-SA"/>
              </w:rPr>
              <w:t>1,86</w:t>
            </w:r>
          </w:p>
        </w:tc>
      </w:tr>
    </w:tbl>
    <w:p>
      <w:pPr>
        <w:pStyle w:val="Normal"/>
        <w:ind w:hanging="0"/>
        <w:rPr/>
      </w:pPr>
      <w:r>
        <w:rPr/>
      </w:r>
    </w:p>
    <w:p>
      <w:pPr>
        <w:pStyle w:val="Normal"/>
        <w:ind w:hanging="0"/>
        <w:rPr>
          <w:i/>
          <w:i/>
          <w:color w:val="FF0000"/>
          <w:sz w:val="20"/>
          <w:szCs w:val="20"/>
        </w:rPr>
      </w:pPr>
      <w:r>
        <w:rPr>
          <w:i/>
          <w:color w:val="FF0000"/>
          <w:sz w:val="20"/>
          <w:szCs w:val="20"/>
        </w:rPr>
        <w:t xml:space="preserve">Подпись должна быть на одной странице с таблицей. </w:t>
      </w:r>
    </w:p>
    <w:p>
      <w:pPr>
        <w:pStyle w:val="Normal"/>
        <w:ind w:hanging="0"/>
        <w:rPr>
          <w:i/>
          <w:i/>
          <w:color w:val="FF0000"/>
          <w:sz w:val="20"/>
          <w:szCs w:val="20"/>
        </w:rPr>
      </w:pPr>
      <w:r>
        <w:rPr>
          <w:i/>
          <w:color w:val="FF0000"/>
          <w:sz w:val="20"/>
          <w:szCs w:val="20"/>
        </w:rPr>
        <w:t>Если таблица очень большая - допускается при необходимости уменьшить шрифт или межстрочный интервал.</w:t>
      </w:r>
    </w:p>
    <w:p>
      <w:pPr>
        <w:pStyle w:val="Normal"/>
        <w:ind w:hanging="0"/>
        <w:rPr>
          <w:i/>
          <w:i/>
          <w:color w:val="FF0000"/>
          <w:sz w:val="20"/>
          <w:szCs w:val="20"/>
        </w:rPr>
      </w:pPr>
      <w:r>
        <w:rPr>
          <w:i/>
          <w:color w:val="FF0000"/>
          <w:sz w:val="20"/>
          <w:szCs w:val="20"/>
        </w:rPr>
        <w:t xml:space="preserve">Перенос таблицы на другую страницу – согласно правилам переноса таблиц. </w:t>
      </w:r>
    </w:p>
    <w:p>
      <w:pPr>
        <w:pStyle w:val="Normal"/>
        <w:ind w:hanging="0"/>
        <w:rPr/>
      </w:pPr>
      <w:r>
        <w:rPr/>
      </w:r>
    </w:p>
    <w:p>
      <w:pPr>
        <w:pStyle w:val="Normal"/>
        <w:rPr>
          <w:rFonts w:eastAsia="" w:eastAsiaTheme="majorEastAsia"/>
        </w:rPr>
      </w:pPr>
      <w:r>
        <w:rPr>
          <w:rFonts w:eastAsia="" w:eastAsiaTheme="majorEastAsia"/>
        </w:rPr>
      </w:r>
      <w:r>
        <w:br w:type="page"/>
      </w:r>
    </w:p>
    <w:p>
      <w:pPr>
        <w:pStyle w:val="Heading1"/>
        <w:rPr/>
      </w:pPr>
      <w:bookmarkStart w:id="11" w:name="_Toc31116474"/>
      <w:r>
        <w:rPr/>
        <w:t>2. МАТЕРИАЛЫ И МЕТОДЫ</w:t>
      </w:r>
      <w:bookmarkEnd w:id="11"/>
    </w:p>
    <w:p>
      <w:pPr>
        <w:pStyle w:val="Heading2"/>
        <w:rPr/>
      </w:pPr>
      <w:bookmarkStart w:id="12" w:name="_Toc31116475"/>
      <w:r>
        <w:rPr/>
        <w:t>2.1. Материалы</w:t>
      </w:r>
      <w:bookmarkEnd w:id="12"/>
    </w:p>
    <w:p>
      <w:pPr>
        <w:pStyle w:val="Heading3"/>
        <w:rPr/>
      </w:pPr>
      <w:bookmarkStart w:id="13" w:name="_Toc31116476"/>
      <w:r>
        <w:rPr/>
        <w:t>2.1.</w:t>
      </w:r>
      <w:r>
        <w:rPr/>
        <w:t>1</w:t>
      </w:r>
      <w:r>
        <w:rPr/>
        <w:t>. База данных GeneCards</w:t>
      </w:r>
      <w:bookmarkEnd w:id="13"/>
    </w:p>
    <w:p>
      <w:pPr>
        <w:pStyle w:val="Normal"/>
        <w:rPr/>
      </w:pPr>
      <w:r>
        <w:rPr/>
        <w:t xml:space="preserve">C помощью базы данных GeneCards (https://www.genecards.org) </w:t>
      </w:r>
      <w:r>
        <w:rPr>
          <w:rFonts w:cs="Times New Roman"/>
          <w:sz w:val="28"/>
          <w:szCs w:val="28"/>
        </w:rPr>
        <w:t>получен список генов</w:t>
      </w:r>
      <w:r>
        <w:rPr/>
        <w:t xml:space="preserve">, играющих ключевую роль в развитии заболевания. GeneCards — </w:t>
      </w:r>
      <w:r>
        <w:rPr>
          <w:rFonts w:cs="Times New Roman"/>
          <w:sz w:val="28"/>
          <w:szCs w:val="28"/>
        </w:rPr>
        <w:t>база данных</w:t>
      </w:r>
      <w:r>
        <w:rPr/>
        <w:t>, предоставляющ</w:t>
      </w:r>
      <w:r>
        <w:rPr>
          <w:rFonts w:cs="Times New Roman"/>
          <w:sz w:val="28"/>
          <w:szCs w:val="28"/>
        </w:rPr>
        <w:t>ая</w:t>
      </w:r>
      <w:r>
        <w:rPr/>
        <w:t xml:space="preserve"> информацию о генах и их функциях у разных организмов. Этот ресурс содержит данные о более чем 73 000 генах, которые могут быть связаны с различными медицинскими состояниями. GeneCards также предлагает информацию о последовательностях генома и их экспрессии в разных тканях, что может быть полезным для идентификации потенциальных мишеней для новых лекарственных средств.  Одной из главных функций GeneCards является графический интерфейс, который позволяет исследователям просматривать информацию о генах, включая их определение, функцию, экспрессию и ассоциированные с ними заболевания. Кроме того, на ресурсе имеется возможность искать любую информацию, используя разные подходы, такие как поиск по названию гена, поиск по медицинскому состоянию или поиска по SNP-маркерам </w:t>
      </w:r>
      <w:r>
        <w:rPr/>
        <w:t>(Single-nucleotide polymorphism)</w:t>
      </w:r>
      <w:r>
        <w:rPr/>
        <w:t>. Этот инструмент также позволяет создавать интерактивные диаграммы, которые показывают связи между разными генами.  Од</w:t>
      </w:r>
      <w:r>
        <w:rPr>
          <w:rFonts w:cs="Times New Roman"/>
          <w:sz w:val="28"/>
          <w:szCs w:val="28"/>
        </w:rPr>
        <w:t>но</w:t>
      </w:r>
      <w:r>
        <w:rPr/>
        <w:t xml:space="preserve"> из главных преимуществ GeneCards заключается в том, что он предоставляет доступ к множеству веб-ресурсов, таких как PubMed, UniProt и Ensembl. Это позволяет исследователям быстро получать доступ к информации, которая усиливает их исследования и расширяет их знания о конкретных генах и функциях организма. GeneCards также предоставляет информацию о смежных генах, что может быть полезным для исследования механизмов их взаимодействия.</w:t>
      </w:r>
    </w:p>
    <w:p>
      <w:pPr>
        <w:pStyle w:val="Normal"/>
        <w:rPr/>
      </w:pPr>
      <w:r>
        <w:rPr/>
      </w:r>
    </w:p>
    <w:p>
      <w:pPr>
        <w:pStyle w:val="Heading3"/>
        <w:rPr/>
      </w:pPr>
      <w:bookmarkStart w:id="14" w:name="_Toc311164761"/>
      <w:r>
        <w:rPr/>
        <w:t>2.1.</w:t>
      </w:r>
      <w:r>
        <w:rPr>
          <w:rFonts w:eastAsia="Times New Roman" w:cs="Times New Roman"/>
          <w:b/>
          <w:bCs/>
          <w:sz w:val="28"/>
          <w:szCs w:val="28"/>
        </w:rPr>
        <w:t>2</w:t>
      </w:r>
      <w:r>
        <w:rPr/>
        <w:t xml:space="preserve">. База данных </w:t>
      </w:r>
      <w:bookmarkEnd w:id="14"/>
      <w:r>
        <w:rPr/>
        <w:t>KEGG</w:t>
      </w:r>
    </w:p>
    <w:p>
      <w:pPr>
        <w:pStyle w:val="Normal"/>
        <w:rPr/>
      </w:pPr>
      <w:r>
        <w:rPr/>
        <w:t xml:space="preserve"> </w:t>
      </w:r>
      <w:r>
        <w:rPr/>
        <w:t xml:space="preserve">KEGG (Kyoto Encyclopedia of Genes and Genomes, https://www.genome.jp/kegg) - это база данных генетических путей и метаболических карт, которая широко используется в биоинформатике. KEGG собирает информацию о генных функциях, взаимодействиях между молекулами, а также о различных путях метаболизма в различных организмах. Эта база данных содержит пути метаболизма, пути сигнализации, пути болезней и связи между ними. </w:t>
      </w:r>
    </w:p>
    <w:p>
      <w:pPr>
        <w:pStyle w:val="Normal"/>
        <w:rPr/>
      </w:pPr>
      <w:r>
        <w:rPr/>
      </w:r>
    </w:p>
    <w:p>
      <w:pPr>
        <w:pStyle w:val="Heading3"/>
        <w:rPr/>
      </w:pPr>
      <w:bookmarkStart w:id="15" w:name="_Toc3111647611"/>
      <w:r>
        <w:rPr/>
        <w:t>2.1.</w:t>
      </w:r>
      <w:r>
        <w:rPr>
          <w:rFonts w:eastAsia="Times New Roman" w:cs="Times New Roman"/>
          <w:b/>
          <w:bCs/>
          <w:sz w:val="28"/>
          <w:szCs w:val="28"/>
        </w:rPr>
        <w:t>3</w:t>
      </w:r>
      <w:r>
        <w:rPr/>
        <w:t xml:space="preserve">. База данных </w:t>
      </w:r>
      <w:bookmarkEnd w:id="15"/>
      <w:r>
        <w:rPr/>
        <w:t>Ensembl</w:t>
      </w:r>
    </w:p>
    <w:p>
      <w:pPr>
        <w:pStyle w:val="Normal"/>
        <w:rPr/>
      </w:pPr>
      <w:r>
        <w:rPr/>
        <w:t xml:space="preserve"> </w:t>
      </w:r>
      <w:r>
        <w:rPr/>
        <w:t xml:space="preserve">Ensembl </w:t>
      </w:r>
      <w:r>
        <w:rPr/>
        <w:t>(https://www.ensembl.org/index.html)</w:t>
      </w:r>
      <w:r>
        <w:rPr/>
        <w:t xml:space="preserve"> - база данных, созданная  </w:t>
      </w:r>
      <w:r>
        <w:rPr/>
        <w:t>и поддерживаемая</w:t>
      </w:r>
      <w:r>
        <w:rPr/>
        <w:t xml:space="preserve"> совместными усилиями Европейского биоинформатического института (EMBL-EBI) и Университета Кембриджа. Она содержит геномные данные более чем 70 организмов, включая человека, мышей, рыб, насекомых и других животных. Ensembl предоставляет исчерпывающую информацию о расположении генов, альтернативных сплайс-вариантов, РНК и белков. Кроме того, база данных позволяет сравнивать геномы различных организмов, выделять консервативные и изменчивые области генома, а также отслеживать эволюционные изменения в геномах. База данных Ensembl содержит информацию о генах из HGNC </w:t>
      </w:r>
      <w:r>
        <w:rPr/>
        <w:t>(https://www.genenames.org)</w:t>
      </w:r>
      <w:r>
        <w:rPr/>
        <w:t xml:space="preserve">, что позволяет обеспечить единый системный подход к аннотации генов. Кроме того, Ensembl интегрирован с GeneCards, что позволяет получить информацию о функциях и связях генов с заболеваниями, а также с DrugBank </w:t>
      </w:r>
      <w:r>
        <w:rPr/>
        <w:t>(https://go.drugbank.com)</w:t>
      </w:r>
      <w:r>
        <w:rPr/>
        <w:t>, чтобы получить информацию о лекарствах, которые могут влиять на гены. Ensembl также интегрирован с KEGG, что позволяет смотреть на гены, связанные с болезнью, с точки зрения метаболических путей.</w:t>
      </w:r>
    </w:p>
    <w:p>
      <w:pPr>
        <w:pStyle w:val="Heading3"/>
        <w:ind w:hanging="0"/>
        <w:rPr/>
      </w:pPr>
      <w:r>
        <w:rPr/>
      </w:r>
    </w:p>
    <w:p>
      <w:pPr>
        <w:pStyle w:val="Heading1"/>
        <w:rPr/>
      </w:pPr>
      <w:r>
        <w:rPr/>
        <w:t>2.2. Методы</w:t>
      </w:r>
    </w:p>
    <w:p>
      <w:pPr>
        <w:pStyle w:val="Heading3"/>
        <w:ind w:hanging="0"/>
        <w:rPr/>
      </w:pPr>
      <w:r>
        <w:rPr/>
        <w:t>2.</w:t>
      </w:r>
      <w:r>
        <w:rPr/>
        <w:t>2</w:t>
      </w:r>
      <w:r>
        <w:rPr/>
        <w:t>.</w:t>
      </w:r>
      <w:r>
        <w:rPr>
          <w:rFonts w:eastAsia="Times New Roman" w:cs="Times New Roman"/>
          <w:b/>
          <w:bCs/>
          <w:sz w:val="28"/>
          <w:szCs w:val="28"/>
        </w:rPr>
        <w:t>1</w:t>
      </w:r>
      <w:r>
        <w:rPr/>
        <w:t xml:space="preserve">.  Ресурс </w:t>
      </w:r>
      <w:r>
        <w:rPr/>
        <w:t>STRING-DB</w:t>
      </w:r>
    </w:p>
    <w:p>
      <w:pPr>
        <w:pStyle w:val="Normal"/>
        <w:rPr>
          <w:rFonts w:eastAsia="Times New Roman"/>
        </w:rPr>
      </w:pPr>
      <w:r>
        <w:rPr/>
        <w:t>Д</w:t>
      </w:r>
      <w:r>
        <w:rPr/>
        <w:t>ля реконструкции генной сети взаимодействий генов СГХС использовался ресурс STRING-DB (</w:t>
      </w:r>
      <w:hyperlink r:id="rId18">
        <w:r>
          <w:rPr>
            <w:rStyle w:val="InternetLink"/>
          </w:rPr>
          <w:t>https://string-db.org</w:t>
        </w:r>
      </w:hyperlink>
      <w:r>
        <w:rPr/>
        <w:t xml:space="preserve">). STRING-DB - биоинформатический инструмент, позволя.obq проводить анализ взаимодействий между белками и генными сетями. Он представляет собой базу данных, которая содержит множество информации о белках, их взаимодействиях, функциях и патологических свойствах.   STRING обладает </w:t>
      </w:r>
      <w:r>
        <w:rPr>
          <w:rFonts w:cs="Times New Roman"/>
          <w:sz w:val="28"/>
          <w:szCs w:val="28"/>
        </w:rPr>
        <w:t>набором</w:t>
      </w:r>
      <w:r>
        <w:rPr/>
        <w:t xml:space="preserve"> функций, которые упрощают исследование генных сетей, позволяет искать белки с помощью различных критериев, включая название, идентификаторы и их гены, а также проводить анализ взаимодействий между белками. STRING также предоставляет информацию о молекулярных путях, которые включают взаимодействовавшие белки, и может оценивать силу связи между ними на основе различных критериев, таких как функциональная связь, физическое взаимодействие, совместное включение в определенный путевой анализ, а также сходство между паттернами экспрессии генов. </w:t>
      </w:r>
      <w:r>
        <w:rPr>
          <w:rFonts w:cs="Times New Roman"/>
          <w:sz w:val="28"/>
          <w:szCs w:val="28"/>
        </w:rPr>
        <w:t>И</w:t>
      </w:r>
      <w:r>
        <w:rPr/>
        <w:t xml:space="preserve">нструмент даёт возможность проводить анализы на различных уровнях сложности: от поиска взаимодействий между отдельными белками до анализа комплексных генных сетей. Также у него есть функция анализа функциональной связи между различными белками в генной сети, что позволяет идентифицировать ключевые белки, которые играют важную роль в регуляции метаболизма и других жизненно важных функций. Кроме того, STRING позволяет интегрировать данные из различных источников, таких как базы данных о генах, экспериментальные данные и данные об экспрессии генов, что позволяет получить более полное представление о функциях и взаимодействиях белков. </w:t>
      </w:r>
      <w:r>
        <w:rPr/>
        <w:t>И</w:t>
      </w:r>
      <w:r>
        <w:rPr/>
        <w:t>спользование STRING позволяет значительно упростить анализ генных сетей и выявление ключевых факторов, которые участвуют в различных биологических процессах.</w:t>
      </w:r>
    </w:p>
    <w:p>
      <w:pPr>
        <w:pStyle w:val="Heading3"/>
        <w:rPr>
          <w:rFonts w:eastAsia="Times New Roman"/>
        </w:rPr>
      </w:pPr>
      <w:r>
        <w:rPr/>
      </w:r>
    </w:p>
    <w:p>
      <w:pPr>
        <w:pStyle w:val="Heading3"/>
        <w:rPr>
          <w:rFonts w:eastAsia="Times New Roman"/>
        </w:rPr>
      </w:pPr>
      <w:r>
        <w:rPr/>
        <w:t xml:space="preserve">2.2.2. </w:t>
      </w:r>
      <w:r>
        <w:rPr/>
        <w:t xml:space="preserve">Ресурс DAVID </w:t>
      </w:r>
    </w:p>
    <w:p>
      <w:pPr>
        <w:pStyle w:val="Normal"/>
        <w:rPr>
          <w:rFonts w:eastAsia="Times New Roman"/>
        </w:rPr>
      </w:pPr>
      <w:r>
        <w:rPr/>
        <w:t>Для анализа категорий генных онтологий использовалс</w:t>
      </w:r>
      <w:r>
        <w:rPr/>
        <w:t>я</w:t>
      </w:r>
      <w:r>
        <w:rPr/>
        <w:t xml:space="preserve"> ресурс DAVID (Database for Annotation, Visualization and Integrated Discovery) (</w:t>
      </w:r>
      <w:hyperlink r:id="rId19">
        <w:r>
          <w:rPr>
            <w:rStyle w:val="InternetLink"/>
          </w:rPr>
          <w:t>https://david.ncifcrf.gov/summary.jsp</w:t>
        </w:r>
      </w:hyperlink>
      <w:r>
        <w:rPr/>
        <w:t xml:space="preserve">). DAVID - это бесплатный онлайн-инструмент для анализа функций генов, который объединяет широкий спектр биологических источников для выведения биологической информации. DAVID предоставляет интерфейс для исследования с использованием функционального аннотирования генов, а также с помощью анализа путей, генных функций и показателей биологических процессов.  Основными функциями DAVID являются генерация групп генов на основе кластеризации по сходству экспрессии генов, а также обнаружение функциональных и тематических групп генов на основе аннотации генов. DAVID также поддерживает анализ списков генов, создание графических отчетов для генных анализов, и анализ дифференциально экспрессируемых генов.  Основное преимущество DAVID заключается в том, что он позволяет одновременно использовать несколько биологических баз данных и сравнивать их результаты анализа. Базы данных, используемые в DAVID, включают Gene Ontology </w:t>
      </w:r>
      <w:r>
        <w:rPr/>
        <w:t>(http://geneontology.org)</w:t>
      </w:r>
      <w:r>
        <w:rPr/>
        <w:t xml:space="preserve">, KEGG </w:t>
      </w:r>
      <w:r>
        <w:rPr/>
        <w:t>(https://www.genome.jp/kegg)</w:t>
      </w:r>
      <w:r>
        <w:rPr/>
        <w:t xml:space="preserve">, Panther </w:t>
      </w:r>
      <w:r>
        <w:rPr/>
        <w:t>(http://www.pantherdb.org)</w:t>
      </w:r>
      <w:r>
        <w:rPr/>
        <w:t xml:space="preserve">, Reactome </w:t>
      </w:r>
      <w:r>
        <w:rPr/>
        <w:t>(https://reactome.org)</w:t>
      </w:r>
      <w:r>
        <w:rPr/>
        <w:t xml:space="preserve">, COG </w:t>
      </w:r>
      <w:r>
        <w:rPr/>
        <w:t>(https://www.ncbi.nlm.nih.gov/research/cog-project)</w:t>
      </w:r>
      <w:r>
        <w:rPr/>
        <w:t xml:space="preserve">, и InterPro </w:t>
      </w:r>
      <w:r>
        <w:rPr/>
        <w:t>(https://www.ebi.ac.uk/interpro)</w:t>
      </w:r>
      <w:r>
        <w:rPr/>
        <w:t>. Таким образом, DAVID предоставляет более широкий набор функций, чем большинство других биоинформатических инструментов. DAVID является мощным инструментом для анализа функций генов, позволяющим выявлять сходства и различия между группами генов, а также предоставляющим полные функциональные аннотации для отдельных генов. Он также позволяет создавать интуитивно понятные графические отчеты для облегчения визуализации результатов анализа. Рекомендуется использовать DAVID вместе с другими биоинформатическими инструментами, чтобы получить максимальную пользу от анализа генных данных.</w:t>
      </w:r>
    </w:p>
    <w:p>
      <w:pPr>
        <w:pStyle w:val="Heading3"/>
        <w:rPr>
          <w:rFonts w:eastAsia="Times New Roman"/>
        </w:rPr>
      </w:pPr>
      <w:r>
        <w:rPr/>
      </w:r>
    </w:p>
    <w:p>
      <w:pPr>
        <w:pStyle w:val="Heading3"/>
        <w:rPr>
          <w:rFonts w:eastAsia="Times New Roman"/>
        </w:rPr>
      </w:pPr>
      <w:r>
        <w:rPr/>
        <w:t xml:space="preserve">2.2.2. </w:t>
      </w:r>
      <w:r>
        <w:rPr/>
        <w:t>Ресурс PANTHER</w:t>
      </w:r>
    </w:p>
    <w:p>
      <w:pPr>
        <w:pStyle w:val="Normal"/>
        <w:rPr>
          <w:rFonts w:eastAsia="Times New Roman"/>
        </w:rPr>
      </w:pPr>
      <w:r>
        <w:rPr/>
        <w:t xml:space="preserve">Аналогично с DAVID, </w:t>
      </w:r>
      <w:r>
        <w:rPr>
          <w:rFonts w:cs="Times New Roman"/>
          <w:sz w:val="28"/>
          <w:szCs w:val="28"/>
        </w:rPr>
        <w:t>в целях</w:t>
      </w:r>
      <w:r>
        <w:rPr/>
        <w:t xml:space="preserve"> получения более точного результата, д</w:t>
      </w:r>
      <w:r>
        <w:rPr/>
        <w:t xml:space="preserve">ля анализа категорий генных онтологий </w:t>
      </w:r>
      <w:r>
        <w:rPr/>
        <w:t xml:space="preserve">также </w:t>
      </w:r>
      <w:r>
        <w:rPr/>
        <w:t>использовалс</w:t>
      </w:r>
      <w:r>
        <w:rPr/>
        <w:t>я</w:t>
      </w:r>
      <w:r>
        <w:rPr/>
        <w:t xml:space="preserve"> ресурс </w:t>
      </w:r>
      <w:r>
        <w:rPr/>
        <w:t xml:space="preserve">PANTHER. Система классификации PANTHER (Protein ANalysis THrough Evolutionary Relationships, http://www.pantherdb.org) была разработана для классификации белков и их генов с целью облегчения высокопроизводительного анализа. Основой PANTHER является всеобъемлющая аннотированная библиотека филогенетических деревьев семейств генов. Все узлы дерева имеют постоянные идентификаторы, которые сохраняются между версиями PANTHER, обеспечивая стабильную основу для аннотаций свойств белка, таких как подсемейство и функция. Каждое филогенетическое дерево используется для аннотирования каждого белка, входящего в семейство, по его: </w:t>
      </w:r>
      <w:r>
        <w:rPr/>
        <w:t>c</w:t>
      </w:r>
      <w:r>
        <w:rPr/>
        <w:t>емейств</w:t>
      </w:r>
      <w:r>
        <w:rPr/>
        <w:t>у</w:t>
      </w:r>
      <w:r>
        <w:rPr/>
        <w:t xml:space="preserve"> и класс</w:t>
      </w:r>
      <w:r>
        <w:rPr/>
        <w:t>у</w:t>
      </w:r>
      <w:r>
        <w:rPr/>
        <w:t xml:space="preserve"> (супергруппировка семейств белков), </w:t>
      </w:r>
      <w:r>
        <w:rPr/>
        <w:t>п</w:t>
      </w:r>
      <w:r>
        <w:rPr/>
        <w:t>одсемейств</w:t>
      </w:r>
      <w:r>
        <w:rPr/>
        <w:t>у</w:t>
      </w:r>
      <w:r>
        <w:rPr/>
        <w:t xml:space="preserve"> (подгруппа внутри филогенетического дерева семейства), </w:t>
      </w:r>
      <w:r>
        <w:rPr/>
        <w:t>о</w:t>
      </w:r>
      <w:r>
        <w:rPr/>
        <w:t>ртолог</w:t>
      </w:r>
      <w:r>
        <w:rPr/>
        <w:t>ам</w:t>
      </w:r>
      <w:r>
        <w:rPr/>
        <w:t xml:space="preserve"> (</w:t>
      </w:r>
      <w:r>
        <w:rPr>
          <w:rFonts w:ascii="Georgia;sans;arial" w:hAnsi="Georgia;sans;arial"/>
          <w:b w:val="false"/>
          <w:i w:val="false"/>
          <w:caps w:val="false"/>
          <w:smallCaps w:val="false"/>
          <w:color w:val="000000"/>
          <w:spacing w:val="0"/>
          <w:sz w:val="24"/>
        </w:rPr>
        <w:t>гомологичные белки из разных организмов, разошедшиеся в процессе видообразования и выполняющие одну и ту же функцию</w:t>
      </w:r>
      <w:r>
        <w:rPr/>
        <w:t xml:space="preserve">), </w:t>
      </w:r>
      <w:r>
        <w:rPr/>
        <w:t>п</w:t>
      </w:r>
      <w:r>
        <w:rPr/>
        <w:t>аралог</w:t>
      </w:r>
      <w:r>
        <w:rPr/>
        <w:t>ам</w:t>
      </w:r>
      <w:r>
        <w:rPr/>
        <w:t xml:space="preserve"> (</w:t>
      </w:r>
      <w:r>
        <w:rPr>
          <w:rFonts w:ascii="Georgia;sans;arial" w:hAnsi="Georgia;sans;arial"/>
          <w:b w:val="false"/>
          <w:i w:val="false"/>
          <w:caps w:val="false"/>
          <w:smallCaps w:val="false"/>
          <w:color w:val="000000"/>
          <w:spacing w:val="0"/>
          <w:sz w:val="24"/>
        </w:rPr>
        <w:t>гомологичные белки, принадлежащие одному организму, возникают в результате дупликации гена и могут разойтись в процессе эволюции настолько, что начнут выполнять разные функции</w:t>
      </w:r>
      <w:r>
        <w:rPr/>
        <w:t xml:space="preserve">), </w:t>
      </w:r>
      <w:r>
        <w:rPr/>
        <w:t>ф</w:t>
      </w:r>
      <w:r>
        <w:rPr/>
        <w:t>ункци</w:t>
      </w:r>
      <w:r>
        <w:rPr/>
        <w:t>ям</w:t>
      </w:r>
      <w:r>
        <w:rPr/>
        <w:t xml:space="preserve"> (с использованием терминов GO, аннотированных на деревьях проектом GO Phylogenetic Annotation Project, </w:t>
      </w:r>
      <w:hyperlink r:id="rId20">
        <w:r>
          <w:rPr>
            <w:rStyle w:val="InternetLink"/>
          </w:rPr>
          <w:t>https://wiki.geneontology.org/Phylogenetic_Annotation_Project</w:t>
        </w:r>
      </w:hyperlink>
      <w:r>
        <w:rPr/>
        <w:t xml:space="preserve">), </w:t>
      </w:r>
      <w:r>
        <w:rPr/>
        <w:t>п</w:t>
      </w:r>
      <w:r>
        <w:rPr/>
        <w:t>ут</w:t>
      </w:r>
      <w:r>
        <w:rPr/>
        <w:t>ям</w:t>
      </w:r>
      <w:r>
        <w:rPr/>
        <w:t xml:space="preserve"> (курируемые PANTHER и Reactome). PANTHER </w:t>
      </w:r>
      <w:r>
        <w:rPr>
          <w:rFonts w:cs="Times New Roman"/>
          <w:sz w:val="28"/>
          <w:szCs w:val="28"/>
        </w:rPr>
        <w:t>предоставляет и</w:t>
      </w:r>
      <w:r>
        <w:rPr/>
        <w:t>нформацию о классификации белок-кодирующих генов из 143 геномов, включенных в деревья PANTHER.</w:t>
      </w:r>
    </w:p>
    <w:p>
      <w:pPr>
        <w:pStyle w:val="Normal"/>
        <w:ind w:hanging="0"/>
        <w:rPr/>
      </w:pPr>
      <w:r>
        <w:rPr/>
      </w:r>
    </w:p>
    <w:p>
      <w:pPr>
        <w:pStyle w:val="Normal"/>
        <w:rPr>
          <w:rFonts w:eastAsia="Times New Roman"/>
        </w:rPr>
      </w:pPr>
      <w:r>
        <w:rPr/>
      </w:r>
      <w:r>
        <w:br w:type="page"/>
      </w:r>
    </w:p>
    <w:p>
      <w:pPr>
        <w:pStyle w:val="Heading1"/>
        <w:rPr/>
      </w:pPr>
      <w:bookmarkStart w:id="16" w:name="_Toc311164821"/>
      <w:r>
        <w:rPr/>
        <w:t>3. РЕЗУЛЬТАТЫ И ИХ ОБСУЖДЕНИЕ</w:t>
      </w:r>
      <w:bookmarkEnd w:id="16"/>
    </w:p>
    <w:p>
      <w:pPr>
        <w:pStyle w:val="Heading2"/>
        <w:rPr>
          <w:rFonts w:eastAsia="Times New Roman"/>
        </w:rPr>
      </w:pPr>
      <w:bookmarkStart w:id="17" w:name="_Toc311164831"/>
      <w:r>
        <w:rPr>
          <w:rFonts w:eastAsia="Times New Roman"/>
        </w:rPr>
        <w:t xml:space="preserve">3.1. </w:t>
      </w:r>
      <w:bookmarkEnd w:id="17"/>
      <w:r>
        <w:rPr>
          <w:rFonts w:eastAsia="Times New Roman"/>
        </w:rPr>
        <w:t xml:space="preserve">Получение списка генов, связанных с наследственной предрасположенностью к </w:t>
      </w:r>
      <w:r>
        <w:rPr>
          <w:rFonts w:eastAsia="Times New Roman" w:cs="Times New Roman"/>
          <w:b/>
          <w:bCs/>
          <w:sz w:val="28"/>
          <w:szCs w:val="28"/>
        </w:rPr>
        <w:t>семейной гиперхолестеринемии</w:t>
      </w:r>
      <w:r>
        <w:rPr>
          <w:rFonts w:eastAsia="Times New Roman"/>
        </w:rPr>
        <w:t>.</w:t>
      </w:r>
    </w:p>
    <w:p>
      <w:pPr>
        <w:pStyle w:val="Normal"/>
        <w:rPr>
          <w:rFonts w:eastAsia="Times New Roman"/>
        </w:rPr>
      </w:pPr>
      <w:r>
        <w:rPr>
          <w:rFonts w:eastAsia="Times New Roman"/>
        </w:rPr>
        <w:t xml:space="preserve">При анализе генов, </w:t>
      </w:r>
      <w:r>
        <w:rPr>
          <w:rFonts w:eastAsia="Times New Roman" w:cs="Times New Roman"/>
          <w:sz w:val="28"/>
          <w:szCs w:val="28"/>
        </w:rPr>
        <w:t>мутации</w:t>
      </w:r>
      <w:r>
        <w:rPr>
          <w:rFonts w:eastAsia="Times New Roman"/>
        </w:rPr>
        <w:t xml:space="preserve"> в которых имеют влияние на развитие семейной гиперхолестеринемии, информационная база данных «GeneCards» выдала 1,620 генов,  (ниже представлена таблица генов,  файл с полной таблицей генов, у которых счет не менее 35, прикреплен в письме («genecards.txt»).</w:t>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
    </w:p>
    <w:p>
      <w:pPr>
        <w:pStyle w:val="Normal"/>
        <w:rPr>
          <w:rFonts w:eastAsia="Times New Roman"/>
        </w:rPr>
      </w:pPr>
      <w:r>
        <w:rPr>
          <w:rFonts w:eastAsia="Times New Roman"/>
        </w:rPr>
        <w:t>В работе использовались коммерческие препараты ферментов фирмы «</w:t>
      </w:r>
      <w:r>
        <w:rPr>
          <w:rFonts w:eastAsia="Times New Roman"/>
          <w:lang w:val="en-US"/>
        </w:rPr>
        <w:t>Thermo</w:t>
      </w:r>
      <w:r>
        <w:rPr>
          <w:rFonts w:eastAsia="Times New Roman"/>
        </w:rPr>
        <w:t xml:space="preserve"> </w:t>
      </w:r>
      <w:r>
        <w:rPr>
          <w:rFonts w:eastAsia="Times New Roman"/>
          <w:lang w:val="en-US"/>
        </w:rPr>
        <w:t>Fisher</w:t>
      </w:r>
      <w:r>
        <w:rPr>
          <w:rFonts w:eastAsia="Times New Roman"/>
        </w:rPr>
        <w:t xml:space="preserve"> </w:t>
      </w:r>
      <w:r>
        <w:rPr>
          <w:rFonts w:eastAsia="Times New Roman"/>
          <w:lang w:val="en-US"/>
        </w:rPr>
        <w:t>Scientific</w:t>
      </w:r>
      <w:r>
        <w:rPr>
          <w:rFonts w:eastAsia="Times New Roman"/>
        </w:rPr>
        <w:t xml:space="preserve">» (США), «Евроген» (Россия). </w:t>
      </w:r>
    </w:p>
    <w:p>
      <w:pPr>
        <w:pStyle w:val="Normal"/>
        <w:rPr>
          <w:rFonts w:eastAsia="Times New Roman"/>
        </w:rPr>
      </w:pPr>
      <w:r>
        <w:rPr>
          <w:rFonts w:eastAsia="Times New Roman"/>
        </w:rPr>
        <w:t>Для приготовления буферных и других растворов использовали соли и другие реактивы фирм «</w:t>
      </w:r>
      <w:r>
        <w:rPr>
          <w:rFonts w:eastAsia="Times New Roman"/>
          <w:lang w:val="en-US"/>
        </w:rPr>
        <w:t>Serva</w:t>
      </w:r>
      <w:r>
        <w:rPr>
          <w:rFonts w:eastAsia="Times New Roman"/>
        </w:rPr>
        <w:t>» (Германия), «</w:t>
      </w:r>
      <w:r>
        <w:rPr>
          <w:rFonts w:eastAsia="Times New Roman"/>
          <w:lang w:val="en-US"/>
        </w:rPr>
        <w:t>Parmacia</w:t>
      </w:r>
      <w:r>
        <w:rPr>
          <w:rFonts w:eastAsia="Times New Roman"/>
        </w:rPr>
        <w:t>» (Швеция), «</w:t>
      </w:r>
      <w:r>
        <w:rPr>
          <w:rFonts w:eastAsia="Times New Roman"/>
          <w:lang w:val="en-US"/>
        </w:rPr>
        <w:t>Sigma</w:t>
      </w:r>
      <w:r>
        <w:rPr>
          <w:rFonts w:eastAsia="Times New Roman"/>
        </w:rPr>
        <w:t>» (США), «</w:t>
      </w:r>
      <w:r>
        <w:rPr>
          <w:rFonts w:eastAsia="Times New Roman"/>
          <w:lang w:val="en-US"/>
        </w:rPr>
        <w:t>Merck</w:t>
      </w:r>
      <w:r>
        <w:rPr>
          <w:rFonts w:eastAsia="Times New Roman"/>
        </w:rPr>
        <w:t>» (Германия), а также соли производства «Химмед» (Россия) маркировки х.ч. и о.с.ч.</w:t>
      </w:r>
    </w:p>
    <w:p>
      <w:pPr>
        <w:pStyle w:val="Normal"/>
        <w:rPr>
          <w:rFonts w:eastAsia="Times New Roman"/>
          <w:i/>
          <w:i/>
          <w:color w:val="FF0000"/>
          <w:sz w:val="20"/>
          <w:szCs w:val="20"/>
        </w:rPr>
      </w:pPr>
      <w:r>
        <w:rPr>
          <w:rFonts w:eastAsia="Times New Roman"/>
          <w:i/>
          <w:color w:val="FF0000"/>
          <w:sz w:val="20"/>
          <w:szCs w:val="20"/>
        </w:rPr>
        <w:t xml:space="preserve">Можно привести список реактивов и по каждому указать производителя и страну. В этом случае в последующих разделах эти данные для конкретных реактивов не указываются. </w:t>
      </w:r>
    </w:p>
    <w:p>
      <w:pPr>
        <w:pStyle w:val="Normal"/>
        <w:rPr>
          <w:rFonts w:eastAsia="Times New Roman"/>
        </w:rPr>
      </w:pPr>
      <w:r>
        <w:rPr>
          <w:rFonts w:eastAsia="Times New Roman"/>
        </w:rPr>
      </w:r>
    </w:p>
    <w:p>
      <w:pPr>
        <w:pStyle w:val="Heading3"/>
        <w:rPr/>
      </w:pPr>
      <w:bookmarkStart w:id="18" w:name="_Toc31116477"/>
      <w:r>
        <w:rPr/>
        <w:t>2.1.2. Биологические материалы</w:t>
      </w:r>
      <w:bookmarkEnd w:id="18"/>
    </w:p>
    <w:p>
      <w:pPr>
        <w:pStyle w:val="Normal"/>
        <w:rPr/>
      </w:pPr>
      <w:r>
        <w:rPr>
          <w:rFonts w:eastAsia="Times New Roman"/>
        </w:rPr>
        <w:t>Для получения препаратов геномной ДНК использовали цельную венозную кровь</w:t>
      </w:r>
      <w:r>
        <w:rPr/>
        <w:t xml:space="preserve"> пациентов с кардиометаболическими заболеваниями и здоровых людей.</w:t>
      </w:r>
    </w:p>
    <w:p>
      <w:pPr>
        <w:pStyle w:val="Normal"/>
        <w:rPr/>
      </w:pPr>
      <w:r>
        <w:rPr>
          <w:rFonts w:eastAsia="Times New Roman"/>
          <w:i/>
          <w:color w:val="FF0000"/>
          <w:sz w:val="20"/>
          <w:szCs w:val="20"/>
        </w:rPr>
        <w:t>Этот раздел вводится при необходимости</w:t>
      </w:r>
    </w:p>
    <w:p>
      <w:pPr>
        <w:pStyle w:val="Normal"/>
        <w:rPr/>
      </w:pPr>
      <w:r>
        <w:rPr/>
      </w:r>
    </w:p>
    <w:p>
      <w:pPr>
        <w:pStyle w:val="Heading2"/>
        <w:rPr/>
      </w:pPr>
      <w:bookmarkStart w:id="19" w:name="_Toc31116478"/>
      <w:r>
        <w:rPr/>
        <w:t>2.2. Лабораторное оборудование</w:t>
      </w:r>
      <w:bookmarkEnd w:id="19"/>
      <w:r>
        <w:rPr/>
        <w:t xml:space="preserve"> </w:t>
      </w:r>
    </w:p>
    <w:p>
      <w:pPr>
        <w:pStyle w:val="Normal"/>
        <w:rPr>
          <w:rFonts w:eastAsia="Times New Roman"/>
        </w:rPr>
      </w:pPr>
      <w:r>
        <w:rPr>
          <w:rFonts w:eastAsia="Times New Roman"/>
        </w:rPr>
        <w:t>При выполнении работы было использовано следующее оборудование:</w:t>
      </w:r>
    </w:p>
    <w:p>
      <w:pPr>
        <w:pStyle w:val="ListParagraph"/>
        <w:numPr>
          <w:ilvl w:val="0"/>
          <w:numId w:val="2"/>
        </w:numPr>
        <w:rPr>
          <w:rFonts w:eastAsia="Times New Roman"/>
        </w:rPr>
      </w:pPr>
      <w:r>
        <w:rPr>
          <w:rFonts w:eastAsia="Times New Roman"/>
        </w:rPr>
        <w:t>Автоматические пипетки (</w:t>
      </w:r>
      <w:r>
        <w:rPr>
          <w:rFonts w:eastAsia="Times New Roman"/>
          <w:lang w:val="en-US"/>
        </w:rPr>
        <w:t>Gilson</w:t>
      </w:r>
      <w:r>
        <w:rPr>
          <w:rFonts w:eastAsia="Times New Roman"/>
        </w:rPr>
        <w:t>, США)</w:t>
      </w:r>
    </w:p>
    <w:p>
      <w:pPr>
        <w:pStyle w:val="ListParagraph"/>
        <w:numPr>
          <w:ilvl w:val="0"/>
          <w:numId w:val="2"/>
        </w:numPr>
        <w:rPr>
          <w:rFonts w:eastAsia="Times New Roman"/>
          <w:lang w:val="en-US"/>
        </w:rPr>
      </w:pPr>
      <w:r>
        <w:rPr>
          <w:rFonts w:eastAsia="Times New Roman"/>
        </w:rPr>
        <w:t>Амплификатор</w:t>
      </w:r>
      <w:r>
        <w:rPr>
          <w:rFonts w:eastAsia="Times New Roman"/>
          <w:lang w:val="en-US"/>
        </w:rPr>
        <w:t xml:space="preserve"> </w:t>
      </w:r>
      <w:r>
        <w:rPr>
          <w:rFonts w:eastAsia="Times New Roman"/>
        </w:rPr>
        <w:t>Т</w:t>
      </w:r>
      <w:r>
        <w:rPr>
          <w:rFonts w:eastAsia="Times New Roman"/>
          <w:lang w:val="en-US"/>
        </w:rPr>
        <w:t xml:space="preserve">100 Thermal Cycler (Bio-Rad Laboratories, </w:t>
      </w:r>
      <w:r>
        <w:rPr>
          <w:rFonts w:eastAsia="Times New Roman"/>
        </w:rPr>
        <w:t>США</w:t>
      </w:r>
      <w:r>
        <w:rPr>
          <w:rFonts w:eastAsia="Times New Roman"/>
          <w:lang w:val="en-US"/>
        </w:rPr>
        <w:t>)</w:t>
      </w:r>
    </w:p>
    <w:p>
      <w:pPr>
        <w:pStyle w:val="ListParagraph"/>
        <w:numPr>
          <w:ilvl w:val="0"/>
          <w:numId w:val="2"/>
        </w:numPr>
        <w:rPr>
          <w:rFonts w:eastAsia="Times New Roman"/>
          <w:lang w:val="en-US"/>
        </w:rPr>
      </w:pPr>
      <w:r>
        <w:rPr>
          <w:rFonts w:eastAsia="Times New Roman"/>
        </w:rPr>
        <w:t>Амплификатор</w:t>
      </w:r>
      <w:r>
        <w:rPr>
          <w:rFonts w:eastAsia="Times New Roman"/>
          <w:lang w:val="en-US"/>
        </w:rPr>
        <w:t xml:space="preserve"> CFX 96 TOUCH (Bio-Rad Laboratories, </w:t>
      </w:r>
      <w:r>
        <w:rPr>
          <w:rFonts w:eastAsia="Times New Roman"/>
        </w:rPr>
        <w:t>США</w:t>
      </w:r>
      <w:r>
        <w:rPr>
          <w:rFonts w:eastAsia="Times New Roman"/>
          <w:lang w:val="en-US"/>
        </w:rPr>
        <w:t>)</w:t>
      </w:r>
    </w:p>
    <w:p>
      <w:pPr>
        <w:pStyle w:val="ListParagraph"/>
        <w:numPr>
          <w:ilvl w:val="0"/>
          <w:numId w:val="2"/>
        </w:numPr>
        <w:rPr>
          <w:rFonts w:eastAsia="Times New Roman"/>
          <w:lang w:val="en-US"/>
        </w:rPr>
      </w:pPr>
      <w:r>
        <w:rPr>
          <w:rFonts w:eastAsia="Times New Roman"/>
        </w:rPr>
        <w:t>Амплификатор</w:t>
      </w:r>
      <w:r>
        <w:rPr>
          <w:rFonts w:eastAsia="Times New Roman"/>
          <w:lang w:val="en-US"/>
        </w:rPr>
        <w:t xml:space="preserve"> StepOne Plus (Applied Biosystems,</w:t>
      </w:r>
      <w:r>
        <w:rPr>
          <w:rFonts w:eastAsia="Times New Roman"/>
        </w:rPr>
        <w:t>США</w:t>
      </w:r>
      <w:r>
        <w:rPr>
          <w:rFonts w:eastAsia="Times New Roman"/>
          <w:lang w:val="en-US"/>
        </w:rPr>
        <w:t>)</w:t>
      </w:r>
    </w:p>
    <w:p>
      <w:pPr>
        <w:pStyle w:val="ListParagraph"/>
        <w:numPr>
          <w:ilvl w:val="0"/>
          <w:numId w:val="2"/>
        </w:numPr>
        <w:rPr>
          <w:rFonts w:eastAsia="Times New Roman"/>
        </w:rPr>
      </w:pPr>
      <w:r>
        <w:rPr>
          <w:rFonts w:eastAsia="Times New Roman"/>
        </w:rPr>
        <w:t>Бокс лабораторный с УФ лампой для проведения ПЦР (ДНК-Технология, Россия)</w:t>
      </w:r>
    </w:p>
    <w:p>
      <w:pPr>
        <w:pStyle w:val="ListParagraph"/>
        <w:numPr>
          <w:ilvl w:val="0"/>
          <w:numId w:val="2"/>
        </w:numPr>
        <w:rPr>
          <w:rFonts w:eastAsia="Times New Roman"/>
        </w:rPr>
      </w:pPr>
      <w:r>
        <w:rPr>
          <w:rFonts w:eastAsia="Times New Roman"/>
        </w:rPr>
        <w:t xml:space="preserve">Вортекс-миницентрифуга </w:t>
      </w:r>
      <w:r>
        <w:rPr>
          <w:rFonts w:eastAsia="Times New Roman"/>
          <w:lang w:val="en-US"/>
        </w:rPr>
        <w:t>FV</w:t>
      </w:r>
      <w:r>
        <w:rPr>
          <w:rFonts w:eastAsia="Times New Roman"/>
        </w:rPr>
        <w:t xml:space="preserve">-2400 ( </w:t>
      </w:r>
      <w:r>
        <w:rPr>
          <w:rFonts w:eastAsia="Times New Roman"/>
          <w:lang w:val="en-US"/>
        </w:rPr>
        <w:t>BioSan</w:t>
      </w:r>
      <w:r>
        <w:rPr>
          <w:rFonts w:eastAsia="Times New Roman"/>
        </w:rPr>
        <w:t>, Латвия)</w:t>
      </w:r>
    </w:p>
    <w:p>
      <w:pPr>
        <w:pStyle w:val="ListParagraph"/>
        <w:numPr>
          <w:ilvl w:val="0"/>
          <w:numId w:val="2"/>
        </w:numPr>
        <w:rPr>
          <w:rFonts w:eastAsia="Times New Roman"/>
        </w:rPr>
      </w:pPr>
      <w:r>
        <w:rPr>
          <w:rFonts w:eastAsia="Times New Roman"/>
        </w:rPr>
        <w:t xml:space="preserve">Лабораторная центрифуга </w:t>
      </w:r>
      <w:r>
        <w:rPr>
          <w:rFonts w:eastAsia="Times New Roman"/>
          <w:lang w:val="en-US"/>
        </w:rPr>
        <w:t>MiniSpin</w:t>
      </w:r>
      <w:r>
        <w:rPr>
          <w:rFonts w:eastAsia="Times New Roman"/>
        </w:rPr>
        <w:t xml:space="preserve"> (</w:t>
      </w:r>
      <w:r>
        <w:rPr>
          <w:rFonts w:eastAsia="Times New Roman"/>
          <w:lang w:val="en-US"/>
        </w:rPr>
        <w:t>Epp</w:t>
      </w:r>
      <w:r>
        <w:rPr>
          <w:rFonts w:eastAsia="Times New Roman"/>
        </w:rPr>
        <w:t xml:space="preserve"> </w:t>
      </w:r>
      <w:r>
        <w:rPr>
          <w:rFonts w:eastAsia="Times New Roman"/>
          <w:lang w:val="en-US"/>
        </w:rPr>
        <w:t>MS</w:t>
      </w:r>
      <w:r>
        <w:rPr>
          <w:rFonts w:eastAsia="Times New Roman"/>
        </w:rPr>
        <w:t xml:space="preserve">, </w:t>
      </w:r>
      <w:r>
        <w:rPr>
          <w:rFonts w:eastAsia="Times New Roman"/>
          <w:lang w:val="en-US"/>
        </w:rPr>
        <w:t>Eppendorf</w:t>
      </w:r>
      <w:r>
        <w:rPr>
          <w:rFonts w:eastAsia="Times New Roman"/>
        </w:rPr>
        <w:t>, Германия)</w:t>
      </w:r>
    </w:p>
    <w:p>
      <w:pPr>
        <w:pStyle w:val="ListParagraph"/>
        <w:numPr>
          <w:ilvl w:val="0"/>
          <w:numId w:val="2"/>
        </w:numPr>
        <w:rPr>
          <w:rFonts w:eastAsia="Times New Roman"/>
        </w:rPr>
      </w:pPr>
      <w:r>
        <w:rPr>
          <w:rFonts w:eastAsia="Times New Roman"/>
        </w:rPr>
        <w:t>Мини Центрифуга–вортекс «Микроспин» (</w:t>
      </w:r>
      <w:r>
        <w:rPr>
          <w:rFonts w:eastAsia="Times New Roman"/>
          <w:lang w:val="en-US"/>
        </w:rPr>
        <w:t>BioSan</w:t>
      </w:r>
      <w:r>
        <w:rPr>
          <w:rFonts w:eastAsia="Times New Roman"/>
        </w:rPr>
        <w:t>, Латвия)</w:t>
      </w:r>
    </w:p>
    <w:p>
      <w:pPr>
        <w:pStyle w:val="ListParagraph"/>
        <w:numPr>
          <w:ilvl w:val="0"/>
          <w:numId w:val="2"/>
        </w:numPr>
        <w:rPr>
          <w:rFonts w:eastAsia="Times New Roman"/>
        </w:rPr>
      </w:pPr>
      <w:r>
        <w:rPr>
          <w:rFonts w:eastAsia="Times New Roman"/>
        </w:rPr>
        <w:t xml:space="preserve">Морозильная камера Forma  88700V для хранения образцов при температуре от -50 </w:t>
      </w:r>
      <w:r>
        <w:rPr/>
        <w:t>°С</w:t>
      </w:r>
      <w:r>
        <w:rPr>
          <w:rFonts w:eastAsia="Times New Roman"/>
        </w:rPr>
        <w:t xml:space="preserve">  до -86 </w:t>
      </w:r>
      <w:r>
        <w:rPr/>
        <w:t>°С</w:t>
      </w:r>
      <w:r>
        <w:rPr>
          <w:rFonts w:eastAsia="Times New Roman"/>
        </w:rPr>
        <w:t>(Thermo Electron LED CmbH,США)</w:t>
      </w:r>
    </w:p>
    <w:p>
      <w:pPr>
        <w:pStyle w:val="ListParagraph"/>
        <w:numPr>
          <w:ilvl w:val="0"/>
          <w:numId w:val="2"/>
        </w:numPr>
        <w:rPr>
          <w:rFonts w:eastAsia="Times New Roman"/>
        </w:rPr>
      </w:pPr>
      <w:r>
        <w:rPr>
          <w:rFonts w:eastAsia="Times New Roman"/>
        </w:rPr>
        <w:t>Термостат твердотельный "Гном"(ДНК-Технология,Россия)</w:t>
      </w:r>
    </w:p>
    <w:p>
      <w:pPr>
        <w:pStyle w:val="ListParagraph"/>
        <w:numPr>
          <w:ilvl w:val="0"/>
          <w:numId w:val="2"/>
        </w:numPr>
        <w:rPr>
          <w:rFonts w:eastAsia="Times New Roman"/>
        </w:rPr>
      </w:pPr>
      <w:r>
        <w:rPr>
          <w:rFonts w:eastAsia="Times New Roman"/>
        </w:rPr>
        <w:t>Термо-шейкер для пробирок TS-100C (Biosan,Латвия)</w:t>
      </w:r>
    </w:p>
    <w:p>
      <w:pPr>
        <w:pStyle w:val="ListParagraph"/>
        <w:numPr>
          <w:ilvl w:val="0"/>
          <w:numId w:val="2"/>
        </w:numPr>
        <w:rPr>
          <w:rFonts w:eastAsia="Times New Roman"/>
        </w:rPr>
      </w:pPr>
      <w:r>
        <w:rPr>
          <w:rFonts w:eastAsia="Times New Roman"/>
        </w:rPr>
        <w:t>Трансиллюминатор ТСР-20LC (Viber, Lourmat)</w:t>
      </w:r>
    </w:p>
    <w:p>
      <w:pPr>
        <w:pStyle w:val="ListParagraph"/>
        <w:numPr>
          <w:ilvl w:val="0"/>
          <w:numId w:val="2"/>
        </w:numPr>
        <w:rPr>
          <w:rFonts w:eastAsia="Times New Roman"/>
        </w:rPr>
      </w:pPr>
      <w:r>
        <w:rPr>
          <w:rFonts w:eastAsia="Times New Roman"/>
        </w:rPr>
        <w:t>Установка для получения деионизованной воды, МФ УВОИ-МФ-1812-1 Аквалаб</w:t>
      </w:r>
    </w:p>
    <w:p>
      <w:pPr>
        <w:pStyle w:val="ListParagraph"/>
        <w:numPr>
          <w:ilvl w:val="0"/>
          <w:numId w:val="2"/>
        </w:numPr>
        <w:rPr>
          <w:rFonts w:eastAsia="Times New Roman"/>
        </w:rPr>
      </w:pPr>
      <w:r>
        <w:rPr>
          <w:rFonts w:eastAsia="Times New Roman"/>
        </w:rPr>
        <w:t>Флуориметр настольный Qubit 2.0 (Invitrogen, США)</w:t>
      </w:r>
    </w:p>
    <w:p>
      <w:pPr>
        <w:pStyle w:val="Normal"/>
        <w:rPr>
          <w:rFonts w:eastAsia="Times New Roman"/>
        </w:rPr>
      </w:pPr>
      <w:r>
        <w:rPr>
          <w:rFonts w:eastAsia="Times New Roman"/>
          <w:i/>
          <w:color w:val="FF0000"/>
          <w:sz w:val="20"/>
          <w:szCs w:val="20"/>
        </w:rPr>
        <w:t xml:space="preserve">Аналогично далее в тексте производитель и страна не указываются.  </w:t>
      </w:r>
    </w:p>
    <w:p>
      <w:pPr>
        <w:pStyle w:val="Normal"/>
        <w:rPr>
          <w:rFonts w:eastAsia="Times New Roman"/>
        </w:rPr>
      </w:pPr>
      <w:r>
        <w:rPr>
          <w:rFonts w:eastAsia="Times New Roman"/>
        </w:rPr>
      </w:r>
    </w:p>
    <w:p>
      <w:pPr>
        <w:pStyle w:val="Heading2"/>
        <w:rPr/>
      </w:pPr>
      <w:bookmarkStart w:id="20" w:name="_Toc31116479"/>
      <w:r>
        <w:rPr/>
        <w:t>2.2. Методы</w:t>
      </w:r>
      <w:bookmarkEnd w:id="20"/>
    </w:p>
    <w:p>
      <w:pPr>
        <w:pStyle w:val="Heading3"/>
        <w:rPr/>
      </w:pPr>
      <w:bookmarkStart w:id="21" w:name="_Toc31116480"/>
      <w:r>
        <w:rPr/>
        <w:t>2.2.1. Название метода</w:t>
      </w:r>
      <w:bookmarkEnd w:id="21"/>
      <w:r>
        <w:rPr/>
        <w:t xml:space="preserve"> </w:t>
      </w:r>
    </w:p>
    <w:p>
      <w:pPr>
        <w:pStyle w:val="Normal"/>
        <w:rPr/>
      </w:pPr>
      <w:r>
        <w:rPr/>
        <w:t>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w:t>
      </w:r>
    </w:p>
    <w:p>
      <w:pPr>
        <w:pStyle w:val="Normal"/>
        <w:rPr/>
      </w:pPr>
      <w:r>
        <w:rPr/>
        <w:t>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w:t>
      </w:r>
    </w:p>
    <w:p>
      <w:pPr>
        <w:pStyle w:val="Normal"/>
        <w:rPr/>
      </w:pPr>
      <w:r>
        <w:rPr/>
      </w:r>
    </w:p>
    <w:p>
      <w:pPr>
        <w:pStyle w:val="Normal"/>
        <w:rPr/>
      </w:pPr>
      <w:r>
        <w:rPr/>
      </w:r>
    </w:p>
    <w:p>
      <w:pPr>
        <w:pStyle w:val="Heading3"/>
        <w:rPr/>
      </w:pPr>
      <w:bookmarkStart w:id="22" w:name="_Toc31116481"/>
      <w:r>
        <w:rPr/>
        <w:t>2.2.2. Название метода</w:t>
      </w:r>
      <w:bookmarkEnd w:id="22"/>
      <w:r>
        <w:rPr/>
        <w:t xml:space="preserve"> </w:t>
      </w:r>
    </w:p>
    <w:p>
      <w:pPr>
        <w:pStyle w:val="Normal"/>
        <w:rPr/>
      </w:pPr>
      <w:r>
        <w:rPr/>
        <w:t>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w:t>
      </w:r>
    </w:p>
    <w:p>
      <w:pPr>
        <w:pStyle w:val="Normal"/>
        <w:rPr/>
      </w:pPr>
      <w:r>
        <w:rPr/>
        <w:t>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 метод.</w:t>
      </w:r>
    </w:p>
    <w:p>
      <w:pPr>
        <w:pStyle w:val="Normal"/>
        <w:rPr/>
      </w:pPr>
      <w:r>
        <w:rPr/>
      </w:r>
    </w:p>
    <w:p>
      <w:pPr>
        <w:pStyle w:val="Normal"/>
        <w:rPr/>
      </w:pPr>
      <w:r>
        <w:rPr/>
      </w:r>
      <w:r>
        <w:br w:type="page"/>
      </w:r>
    </w:p>
    <w:p>
      <w:pPr>
        <w:pStyle w:val="Heading1"/>
        <w:rPr/>
      </w:pPr>
      <w:bookmarkStart w:id="23" w:name="_Toc31116482"/>
      <w:r>
        <w:rPr/>
        <w:t>3. РЕЗУЛЬТАТЫ И ИХ ОБСУЖДЕНИЕ</w:t>
      </w:r>
      <w:bookmarkEnd w:id="23"/>
    </w:p>
    <w:p>
      <w:pPr>
        <w:pStyle w:val="Heading2"/>
        <w:rPr/>
      </w:pPr>
      <w:bookmarkStart w:id="24" w:name="_Toc31116483"/>
      <w:r>
        <w:rPr/>
        <w:t>3.1. Заголовок</w:t>
      </w:r>
      <w:bookmarkEnd w:id="24"/>
    </w:p>
    <w:p>
      <w:pPr>
        <w:pStyle w:val="Normal"/>
        <w:rPr/>
      </w:pPr>
      <w:r>
        <w:rPr/>
        <w:t xml:space="preserve">Текст текст текст текст текст текст текст текст текст текст текст текст текст текст текст текст текст текст текст текст текст текст [33, 40]. Текст текст текст текст текст текст текст текст текст текст текст текст текст текст текст текст текст текст текст текст текст текст [13]. </w:t>
      </w:r>
    </w:p>
    <w:p>
      <w:pPr>
        <w:pStyle w:val="Normal"/>
        <w:rPr/>
      </w:pPr>
      <w:r>
        <w:rPr/>
        <w:t>Текст текст текст текст текст текст текст текст текст текст текст текст текст текст текст текст текст текст текст текст текст текст [33, 47, 49]. Текст текст текст текст текст текст текст текст текст текст текст текст текст текст текст текст текст текст текст текст текст текст (рис. 2).</w:t>
      </w:r>
    </w:p>
    <w:p>
      <w:pPr>
        <w:pStyle w:val="Normal"/>
        <w:rPr/>
      </w:pPr>
      <w:r>
        <w:rPr/>
      </w:r>
    </w:p>
    <w:p>
      <w:pPr>
        <w:pStyle w:val="Normal"/>
        <w:rPr/>
      </w:pPr>
      <w:r>
        <w:rPr/>
        <w:drawing>
          <wp:anchor behindDoc="1" distT="0" distB="0" distL="0" distR="0" simplePos="0" locked="0" layoutInCell="0" allowOverlap="1" relativeHeight="4">
            <wp:simplePos x="0" y="0"/>
            <wp:positionH relativeFrom="column">
              <wp:posOffset>490855</wp:posOffset>
            </wp:positionH>
            <wp:positionV relativeFrom="page">
              <wp:posOffset>4814570</wp:posOffset>
            </wp:positionV>
            <wp:extent cx="5048250" cy="2444750"/>
            <wp:effectExtent l="0" t="0" r="0" b="0"/>
            <wp:wrapNone/>
            <wp:docPr id="14" name="Рисунок 7" descr="C:\Users\Ольга\Desktop\ДИПЛОМ\диплом\результаты\Новая папка (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7" descr="C:\Users\Ольга\Desktop\ДИПЛОМ\диплом\результаты\Новая папка (2)\N.png"/>
                    <pic:cNvPicPr>
                      <a:picLocks noChangeAspect="1" noChangeArrowheads="1"/>
                    </pic:cNvPicPr>
                  </pic:nvPicPr>
                  <pic:blipFill>
                    <a:blip r:embed="rId21"/>
                    <a:srcRect l="0" t="0" r="6618" b="0"/>
                    <a:stretch>
                      <a:fillRect/>
                    </a:stretch>
                  </pic:blipFill>
                  <pic:spPr bwMode="auto">
                    <a:xfrm>
                      <a:off x="0" y="0"/>
                      <a:ext cx="5048250" cy="2444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rFonts w:eastAsia="Calibri"/>
        </w:rPr>
      </w:pPr>
      <w:r>
        <w:rPr>
          <w:rFonts w:eastAsia="Calibri"/>
        </w:rPr>
      </w:r>
    </w:p>
    <w:p>
      <w:pPr>
        <w:pStyle w:val="Normal"/>
        <w:ind w:right="279" w:firstLine="709"/>
        <w:rPr/>
      </w:pPr>
      <w:r>
        <w:rPr/>
      </w:r>
    </w:p>
    <w:p>
      <w:pPr>
        <w:pStyle w:val="Normal"/>
        <w:ind w:right="279" w:firstLine="709"/>
        <w:rPr/>
      </w:pPr>
      <w:r>
        <w:rPr/>
      </w:r>
    </w:p>
    <w:p>
      <w:pPr>
        <w:pStyle w:val="Normal"/>
        <w:ind w:right="279" w:firstLine="709"/>
        <w:rPr/>
      </w:pPr>
      <w:r>
        <w:rPr/>
      </w:r>
    </w:p>
    <w:p>
      <w:pPr>
        <w:pStyle w:val="Normal"/>
        <w:ind w:hanging="0"/>
        <w:rPr/>
      </w:pPr>
      <w:r>
        <w:rPr/>
        <w:t xml:space="preserve">Рисунок 2. Электрофореграмма рестрикционного анализа плазмиды, несущей ген N-белка VSV, эндонуклеазами рестрикции XhoI, EcoRV и NotI. 1 – ДНК плазмиды, гидролизованная рестриктазами XhoI и EcoRV; 2 – ДНК плазмиды, гидролизованная рестриктазами XhoI и NotI; 3 – исходная ДНК плазмиды; 4 – маркеры молекулярного веса GeneRulerTM 1 Kb DNA Ladder. </w:t>
      </w:r>
    </w:p>
    <w:p>
      <w:pPr>
        <w:pStyle w:val="Normal"/>
        <w:rPr/>
      </w:pPr>
      <w:r>
        <w:rPr/>
      </w:r>
    </w:p>
    <w:p>
      <w:pPr>
        <w:pStyle w:val="Normal"/>
        <w:rPr>
          <w:rFonts w:eastAsia="" w:cs="" w:cstheme="majorBidi" w:eastAsiaTheme="majorEastAsia"/>
        </w:rPr>
      </w:pPr>
      <w:r>
        <w:rPr>
          <w:rFonts w:eastAsia="" w:cs="" w:cstheme="majorBidi" w:eastAsiaTheme="majorEastAsia"/>
        </w:rPr>
      </w:r>
      <w:r>
        <w:br w:type="page"/>
      </w:r>
    </w:p>
    <w:p>
      <w:pPr>
        <w:pStyle w:val="Heading1"/>
        <w:rPr/>
      </w:pPr>
      <w:bookmarkStart w:id="25" w:name="_Toc31116484"/>
      <w:r>
        <w:rPr/>
        <w:t>ВЫВОДЫ</w:t>
      </w:r>
      <w:bookmarkEnd w:id="25"/>
    </w:p>
    <w:p>
      <w:pPr>
        <w:pStyle w:val="ListParagraph"/>
        <w:numPr>
          <w:ilvl w:val="0"/>
          <w:numId w:val="1"/>
        </w:numPr>
        <w:rPr/>
      </w:pPr>
      <w:r>
        <w:rPr/>
        <w:t>Вывод вывод вывод вывод вывод вывод вывод вывод вывод вывод вывод вывод вывод вывод вывод вывод вывод вывод вывод вывод.</w:t>
      </w:r>
    </w:p>
    <w:p>
      <w:pPr>
        <w:pStyle w:val="ListParagraph"/>
        <w:numPr>
          <w:ilvl w:val="0"/>
          <w:numId w:val="1"/>
        </w:numPr>
        <w:rPr/>
      </w:pPr>
      <w:r>
        <w:rPr/>
        <w:t>Вывод вывод вывод вывод вывод вывод вывод вывод вывод вывод вывод вывод вывод вывод вывод вывод вывод вывод вывод вывод.</w:t>
      </w:r>
    </w:p>
    <w:p>
      <w:pPr>
        <w:pStyle w:val="ListParagraph"/>
        <w:numPr>
          <w:ilvl w:val="0"/>
          <w:numId w:val="1"/>
        </w:numPr>
        <w:rPr/>
      </w:pPr>
      <w:r>
        <w:rPr/>
        <w:t>Вывод вывод вывод вывод вывод вывод вывод вывод вывод вывод вывод вывод вывод вывод вывод вывод вывод вывод вывод вывод.</w:t>
      </w:r>
    </w:p>
    <w:p>
      <w:pPr>
        <w:pStyle w:val="ListParagraph"/>
        <w:numPr>
          <w:ilvl w:val="0"/>
          <w:numId w:val="1"/>
        </w:numPr>
        <w:rPr/>
      </w:pPr>
      <w:r>
        <w:rPr/>
      </w:r>
    </w:p>
    <w:p>
      <w:pPr>
        <w:pStyle w:val="Normal"/>
        <w:rPr/>
      </w:pPr>
      <w:r>
        <w:rPr/>
      </w:r>
      <w:r>
        <w:br w:type="page"/>
      </w:r>
    </w:p>
    <w:p>
      <w:pPr>
        <w:pStyle w:val="Heading1"/>
        <w:rPr>
          <w:lang w:val="en-US"/>
        </w:rPr>
      </w:pPr>
      <w:bookmarkStart w:id="26" w:name="_Toc31116485"/>
      <w:r>
        <w:rPr/>
        <w:t>СПИСОК ЛИТЕРАТУРЫ</w:t>
      </w:r>
      <w:bookmarkEnd w:id="26"/>
    </w:p>
    <w:p>
      <w:pPr>
        <w:pStyle w:val="ListParagraph"/>
        <w:numPr>
          <w:ilvl w:val="0"/>
          <w:numId w:val="3"/>
        </w:numPr>
        <w:rPr/>
      </w:pPr>
      <w:r>
        <w:rPr/>
        <w:t>Гильмиярова Ф.Н., Радомская В.М., Гергель Н.И. и др. Группы крови:  биологическая вариабельность клеточного состава и метаболизма в норме и патологии (под ред. Г.П. Котельникова). М.: Известия. 2007. 490 с.</w:t>
      </w:r>
    </w:p>
    <w:p>
      <w:pPr>
        <w:pStyle w:val="ListParagraph"/>
        <w:numPr>
          <w:ilvl w:val="0"/>
          <w:numId w:val="3"/>
        </w:numPr>
        <w:rPr/>
      </w:pPr>
      <w:r>
        <w:rPr/>
        <w:t>Каменский В.А. Развитие методов оптической томографии для медицинских и биологических применений. Дис. д-ра физ.-мат. наук. Саратов, 2011. 259 с.</w:t>
      </w:r>
    </w:p>
    <w:p>
      <w:pPr>
        <w:pStyle w:val="ListParagraph"/>
        <w:numPr>
          <w:ilvl w:val="0"/>
          <w:numId w:val="3"/>
        </w:numPr>
        <w:rPr/>
      </w:pPr>
      <w:r>
        <w:rPr/>
        <w:t>Гнеденко О.В. А.С. Иванов, Е.О. Яблоков. Белок-белковые взаимодействия в цитохром P450 3А4 и 3А5 системах // Биомедицинская химия. 2014. Т. 60. №1. С. 17–27.</w:t>
      </w:r>
    </w:p>
    <w:p>
      <w:pPr>
        <w:pStyle w:val="ListParagraph"/>
        <w:numPr>
          <w:ilvl w:val="0"/>
          <w:numId w:val="3"/>
        </w:numPr>
        <w:rPr/>
      </w:pPr>
      <w:r>
        <w:rPr/>
        <w:t xml:space="preserve">Насырова Г. А. Модели государственного регулирования страховой деятельности [Электронный ресурс]. </w:t>
      </w:r>
      <w:r>
        <w:rPr>
          <w:lang w:val="en-GB"/>
        </w:rPr>
        <w:t>URL:</w:t>
      </w:r>
      <w:r>
        <w:rPr/>
        <w:t xml:space="preserve"> http://vestnik.fa.ru/ 4(28)2003/ 4.html (дата обращения: 23.08.2007).</w:t>
      </w:r>
    </w:p>
    <w:p>
      <w:pPr>
        <w:pStyle w:val="Normal"/>
        <w:rPr>
          <w:lang w:val="en-US"/>
        </w:rPr>
      </w:pPr>
      <w:r>
        <w:rPr>
          <w:lang w:val="en-US"/>
        </w:rPr>
      </w:r>
    </w:p>
    <w:p>
      <w:pPr>
        <w:pStyle w:val="Normal"/>
        <w:jc w:val="center"/>
        <w:rPr>
          <w:lang w:val="en-US"/>
        </w:rPr>
      </w:pPr>
      <w:r>
        <w:rPr/>
        <w:drawing>
          <wp:inline distT="0" distB="0" distL="0" distR="0">
            <wp:extent cx="4118610" cy="60960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22"/>
                    <a:stretch>
                      <a:fillRect/>
                    </a:stretch>
                  </pic:blipFill>
                  <pic:spPr bwMode="auto">
                    <a:xfrm>
                      <a:off x="0" y="0"/>
                      <a:ext cx="4118610" cy="6096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Hovland A, Mundal LJ, Veierød MB, Holven KB, Bogsrud MP, Tell GS, Leren TP and Retterstøl K (2022) The risk of various types of cardiovascular diseases in mutation positive familial hypercholesterolemia; a review. Front. Genet. 13:1072108. doi: 10.3389/fgene.2022.1072108</w:t>
      </w:r>
    </w:p>
    <w:p>
      <w:pPr>
        <w:pStyle w:val="Normal"/>
        <w:rPr/>
      </w:pPr>
      <w:r>
        <w:rPr/>
      </w:r>
      <w:r>
        <w:br w:type="page"/>
      </w:r>
    </w:p>
    <w:p>
      <w:pPr>
        <w:pStyle w:val="Heading1"/>
        <w:jc w:val="center"/>
        <w:rPr>
          <w:rFonts w:eastAsia="Times New Roman"/>
          <w:shd w:fill="FFFFFF" w:val="clear"/>
        </w:rPr>
      </w:pPr>
      <w:r>
        <w:rPr>
          <w:rFonts w:eastAsia="Times New Roman"/>
          <w:shd w:fill="FFFFFF" w:val="clear"/>
        </w:rPr>
        <w:t>СПИСОК СОКРАЩЕНИЙ</w:t>
      </w:r>
    </w:p>
    <w:p>
      <w:pPr>
        <w:pStyle w:val="Normal"/>
        <w:jc w:val="left"/>
        <w:rPr/>
      </w:pPr>
      <w:r>
        <w:rPr/>
        <w:t>каскадно</w:t>
      </w:r>
      <w:r>
        <w:rPr>
          <w:rFonts w:cs="Times New Roman"/>
          <w:sz w:val="28"/>
          <w:szCs w:val="28"/>
        </w:rPr>
        <w:t>е</w:t>
      </w:r>
      <w:r>
        <w:rPr/>
        <w:t xml:space="preserve"> тестировани</w:t>
      </w:r>
      <w:r>
        <w:rPr>
          <w:rFonts w:cs="Times New Roman"/>
          <w:sz w:val="28"/>
          <w:szCs w:val="28"/>
        </w:rPr>
        <w:t xml:space="preserve">е – </w:t>
      </w:r>
    </w:p>
    <w:p>
      <w:pPr>
        <w:pStyle w:val="Normal"/>
        <w:jc w:val="left"/>
        <w:rPr/>
      </w:pPr>
      <w:r>
        <w:rPr>
          <w:rFonts w:cs="Times New Roman"/>
          <w:sz w:val="28"/>
          <w:szCs w:val="28"/>
        </w:rPr>
        <w:t xml:space="preserve">ортотопическую трансплантацию печени – </w:t>
      </w:r>
    </w:p>
    <w:p>
      <w:pPr>
        <w:pStyle w:val="Normal"/>
        <w:jc w:val="left"/>
        <w:rPr/>
      </w:pPr>
      <w:r>
        <w:rPr>
          <w:rFonts w:cs="Times New Roman"/>
          <w:sz w:val="28"/>
          <w:szCs w:val="28"/>
        </w:rPr>
        <w:t>скэвенджер-рецептор – это семейство рецепторов клеточной поверхности, которые разнообразны по своей структуре и биологической функции и делятся на различные классы. СР могут связываться с целым рядом лигандов и усиливать элиминацию измененных собственных или несобственных мишеней. Функциональные механизмы, которые приводят к очищению от вредных веществ, включают фагоцитоз, эндоцитоз, адгезию и сигнализацию.</w:t>
      </w:r>
    </w:p>
    <w:p>
      <w:pPr>
        <w:pStyle w:val="Normal"/>
        <w:jc w:val="left"/>
        <w:rPr>
          <w:rFonts w:ascii="Times New Roman" w:hAnsi="Times New Roman" w:cs="Times New Roman"/>
          <w:sz w:val="28"/>
          <w:szCs w:val="28"/>
        </w:rPr>
      </w:pPr>
      <w:r>
        <w:rPr/>
      </w:r>
    </w:p>
    <w:p>
      <w:pPr>
        <w:pStyle w:val="Normal"/>
        <w:jc w:val="left"/>
        <w:rPr/>
      </w:pPr>
      <w:r>
        <w:rPr/>
      </w:r>
    </w:p>
    <w:p>
      <w:pPr>
        <w:pStyle w:val="Heading1"/>
        <w:rPr>
          <w:rFonts w:eastAsia="Times New Roman"/>
          <w:shd w:fill="FFFFFF" w:val="clear"/>
        </w:rPr>
      </w:pPr>
      <w:bookmarkStart w:id="27" w:name="_Toc31116486"/>
      <w:r>
        <w:rPr>
          <w:rFonts w:eastAsia="Times New Roman"/>
          <w:shd w:fill="FFFFFF" w:val="clear"/>
        </w:rPr>
        <w:t>СПИСОК СОКРАЩЕНИЙ</w:t>
      </w:r>
      <w:bookmarkEnd w:id="27"/>
    </w:p>
    <w:p>
      <w:pPr>
        <w:pStyle w:val="Normal"/>
        <w:rPr/>
      </w:pPr>
      <w:r>
        <w:rPr/>
        <w:t>БСА – бычий сывороточный альбумин</w:t>
      </w:r>
    </w:p>
    <w:p>
      <w:pPr>
        <w:pStyle w:val="Normal"/>
        <w:rPr/>
      </w:pPr>
      <w:r>
        <w:rPr/>
        <w:t>ДСН – додецилсульфат натрия</w:t>
      </w:r>
    </w:p>
    <w:p>
      <w:pPr>
        <w:pStyle w:val="Normal"/>
        <w:rPr/>
      </w:pPr>
      <w:r>
        <w:rPr/>
        <w:t>ПААГ – полиакриламидный гель</w:t>
      </w:r>
    </w:p>
    <w:p>
      <w:pPr>
        <w:pStyle w:val="Normal"/>
        <w:rPr/>
      </w:pPr>
      <w:r>
        <w:rPr/>
        <w:t>ПЦР – полимеразная цепная реакция</w:t>
      </w:r>
    </w:p>
    <w:p>
      <w:pPr>
        <w:pStyle w:val="Normal"/>
        <w:rPr/>
      </w:pPr>
      <w:r>
        <w:rPr>
          <w:lang w:val="en-US"/>
        </w:rPr>
        <w:t>PBS</w:t>
      </w:r>
      <w:r>
        <w:rPr/>
        <w:t xml:space="preserve"> – фосфатно-солевой буфер (</w:t>
      </w:r>
      <w:r>
        <w:rPr>
          <w:lang w:val="en-US"/>
        </w:rPr>
        <w:t>phosphate</w:t>
      </w:r>
      <w:r>
        <w:rPr/>
        <w:t xml:space="preserve"> </w:t>
      </w:r>
      <w:r>
        <w:rPr>
          <w:lang w:val="en-US"/>
        </w:rPr>
        <w:t>buffered</w:t>
      </w:r>
      <w:r>
        <w:rPr/>
        <w:t xml:space="preserve"> </w:t>
      </w:r>
      <w:r>
        <w:rPr>
          <w:lang w:val="en-US"/>
        </w:rPr>
        <w:t>saline</w:t>
      </w:r>
      <w:r>
        <w:rPr/>
        <w:t>)</w:t>
      </w:r>
    </w:p>
    <w:p>
      <w:pPr>
        <w:pStyle w:val="Normal"/>
        <w:rPr/>
      </w:pPr>
      <w:r>
        <w:rPr/>
        <w:t xml:space="preserve">FH — </w:t>
      </w:r>
      <w:r>
        <w:rPr/>
        <w:t>семейная гиперхолистеринемия (</w:t>
      </w:r>
      <w:r>
        <w:rPr/>
        <w:t>Familial hypercholesterolemia</w:t>
      </w:r>
      <w:r>
        <w:rPr/>
        <w:t>)</w:t>
      </w:r>
    </w:p>
    <w:p>
      <w:pPr>
        <w:pStyle w:val="Normal"/>
        <w:rPr/>
      </w:pPr>
      <w:r>
        <w:rPr/>
        <w:t>ЛПНП - липопротеин низкой плотности</w:t>
      </w:r>
    </w:p>
    <w:p>
      <w:pPr>
        <w:pStyle w:val="Normal"/>
        <w:rPr/>
      </w:pPr>
      <w:r>
        <w:rPr/>
        <w:t xml:space="preserve">ИБС -  </w:t>
      </w:r>
      <w:r>
        <w:rPr/>
        <w:t>ишемическ</w:t>
      </w:r>
      <w:r>
        <w:rPr>
          <w:rFonts w:cs="Times New Roman"/>
          <w:sz w:val="28"/>
          <w:szCs w:val="28"/>
        </w:rPr>
        <w:t>ая</w:t>
      </w:r>
      <w:r>
        <w:rPr/>
        <w:t xml:space="preserve"> болезн</w:t>
      </w:r>
      <w:r>
        <w:rPr>
          <w:rFonts w:cs="Times New Roman"/>
          <w:sz w:val="28"/>
          <w:szCs w:val="28"/>
        </w:rPr>
        <w:t>ь</w:t>
      </w:r>
      <w:r>
        <w:rPr/>
        <w:t xml:space="preserve"> сердца</w:t>
      </w:r>
    </w:p>
    <w:p>
      <w:pPr>
        <w:pStyle w:val="Normal"/>
        <w:rPr/>
      </w:pPr>
      <w:r>
        <w:rPr/>
        <w:t xml:space="preserve">ИМ - </w:t>
      </w:r>
      <w:r>
        <w:rPr/>
        <w:t>инфаркт миокарда</w:t>
      </w:r>
    </w:p>
    <w:p>
      <w:pPr>
        <w:pStyle w:val="Normal"/>
        <w:rPr>
          <w:rFonts w:eastAsia="" w:eastAsiaTheme="majorEastAsia"/>
        </w:rPr>
      </w:pPr>
      <w:r>
        <w:rPr>
          <w:rFonts w:eastAsia="" w:eastAsiaTheme="majorEastAsia"/>
        </w:rPr>
        <w:t xml:space="preserve">СГХС –  </w:t>
      </w:r>
      <w:r>
        <w:rPr>
          <w:rFonts w:eastAsia="" w:eastAsiaTheme="majorEastAsia"/>
        </w:rPr>
        <w:t>семейная гиперхолистеринемия</w:t>
      </w:r>
    </w:p>
    <w:p>
      <w:pPr>
        <w:pStyle w:val="Normal"/>
        <w:rPr>
          <w:rFonts w:eastAsia="" w:eastAsiaTheme="majorEastAsia"/>
        </w:rPr>
      </w:pPr>
      <w:r>
        <w:rPr>
          <w:rFonts w:eastAsia="" w:eastAsiaTheme="majorEastAsia"/>
        </w:rPr>
        <w:t>ХС — х</w:t>
      </w:r>
      <w:r>
        <w:rPr>
          <w:rFonts w:eastAsia="" w:eastAsiaTheme="majorEastAsia"/>
        </w:rPr>
        <w:t>олестерол</w:t>
      </w:r>
    </w:p>
    <w:p>
      <w:pPr>
        <w:pStyle w:val="Normal"/>
        <w:ind w:hanging="0"/>
        <w:rPr>
          <w:rFonts w:eastAsia="" w:eastAsiaTheme="majorEastAsia"/>
        </w:rPr>
      </w:pPr>
      <w:r>
        <w:rPr>
          <w:rFonts w:eastAsia="" w:eastAsiaTheme="majorEastAsia"/>
        </w:rPr>
        <w:tab/>
        <w:t xml:space="preserve">ЭХС – </w:t>
      </w:r>
      <w:r>
        <w:rPr>
          <w:rFonts w:eastAsia="" w:cs="Times New Roman" w:eastAsiaTheme="majorEastAsia"/>
          <w:sz w:val="28"/>
          <w:szCs w:val="28"/>
        </w:rPr>
        <w:t xml:space="preserve">эфир </w:t>
      </w:r>
      <w:r>
        <w:rPr>
          <w:rFonts w:eastAsia="" w:cs="Times New Roman" w:eastAsiaTheme="majorEastAsia"/>
          <w:sz w:val="28"/>
          <w:szCs w:val="28"/>
        </w:rPr>
        <w:t>х</w:t>
      </w:r>
      <w:r>
        <w:rPr>
          <w:rFonts w:eastAsia="" w:cs="Times New Roman" w:eastAsiaTheme="majorEastAsia"/>
          <w:sz w:val="28"/>
          <w:szCs w:val="28"/>
        </w:rPr>
        <w:t>олестерол</w:t>
      </w:r>
      <w:r>
        <w:rPr>
          <w:rFonts w:eastAsia="" w:cs="Times New Roman" w:eastAsiaTheme="majorEastAsia"/>
          <w:sz w:val="28"/>
          <w:szCs w:val="28"/>
        </w:rPr>
        <w:t>а</w:t>
      </w:r>
    </w:p>
    <w:p>
      <w:pPr>
        <w:pStyle w:val="Normal"/>
        <w:rPr>
          <w:rFonts w:eastAsia="" w:eastAsiaTheme="majorEastAsia"/>
        </w:rPr>
      </w:pPr>
      <w:r>
        <w:rPr>
          <w:rFonts w:eastAsia="" w:eastAsiaTheme="majorEastAsia"/>
        </w:rPr>
        <w:t xml:space="preserve">ЖК – </w:t>
      </w:r>
      <w:r>
        <w:rPr>
          <w:rFonts w:eastAsia="" w:eastAsiaTheme="majorEastAsia"/>
        </w:rPr>
        <w:t>жирные кислоты</w:t>
      </w:r>
    </w:p>
    <w:p>
      <w:pPr>
        <w:pStyle w:val="Normal"/>
        <w:rPr>
          <w:rFonts w:eastAsia="" w:eastAsiaTheme="majorEastAsia"/>
        </w:rPr>
      </w:pPr>
      <w:r>
        <w:rPr>
          <w:rFonts w:eastAsia="" w:eastAsiaTheme="majorEastAsia"/>
        </w:rPr>
        <w:t>ХМ – хиломикрон</w:t>
      </w:r>
    </w:p>
    <w:p>
      <w:pPr>
        <w:pStyle w:val="Normal"/>
        <w:rPr>
          <w:rFonts w:eastAsia="" w:eastAsiaTheme="majorEastAsia"/>
        </w:rPr>
      </w:pPr>
      <w:r>
        <w:rPr>
          <w:rFonts w:eastAsia="" w:eastAsiaTheme="majorEastAsia"/>
        </w:rPr>
        <w:t>ТАГ –  триацилглицерол</w:t>
      </w:r>
    </w:p>
    <w:p>
      <w:pPr>
        <w:pStyle w:val="Normal"/>
        <w:rPr>
          <w:rFonts w:eastAsia="" w:eastAsiaTheme="majorEastAsia"/>
        </w:rPr>
      </w:pPr>
      <w:r>
        <w:rPr>
          <w:rFonts w:eastAsia="" w:eastAsiaTheme="majorEastAsia"/>
        </w:rPr>
        <w:t>Х</w:t>
      </w:r>
      <w:r>
        <w:rPr>
          <w:rFonts w:eastAsia="" w:eastAsiaTheme="majorEastAsia"/>
        </w:rPr>
        <w:t>М</w:t>
      </w:r>
      <w:r>
        <w:rPr>
          <w:rFonts w:eastAsia="" w:eastAsiaTheme="majorEastAsia"/>
        </w:rPr>
        <w:t xml:space="preserve">ост – </w:t>
      </w:r>
      <w:r>
        <w:rPr>
          <w:rFonts w:eastAsia="" w:eastAsiaTheme="majorEastAsia"/>
        </w:rPr>
        <w:t>остаточные хиломикроны</w:t>
      </w:r>
    </w:p>
    <w:p>
      <w:pPr>
        <w:pStyle w:val="Normal"/>
        <w:rPr>
          <w:rFonts w:eastAsia="" w:eastAsiaTheme="majorEastAsia"/>
        </w:rPr>
      </w:pPr>
      <w:r>
        <w:rPr>
          <w:rFonts w:eastAsia="" w:eastAsiaTheme="majorEastAsia"/>
        </w:rPr>
        <w:t>Х</w:t>
      </w:r>
      <w:r>
        <w:rPr>
          <w:rFonts w:eastAsia="" w:eastAsiaTheme="majorEastAsia"/>
        </w:rPr>
        <w:t>М</w:t>
      </w:r>
      <w:r>
        <w:rPr>
          <w:rFonts w:eastAsia="" w:cs="Times New Roman" w:eastAsiaTheme="majorEastAsia"/>
          <w:sz w:val="28"/>
          <w:szCs w:val="28"/>
        </w:rPr>
        <w:t>н</w:t>
      </w:r>
      <w:r>
        <w:rPr>
          <w:rFonts w:eastAsia="" w:eastAsiaTheme="majorEastAsia"/>
        </w:rPr>
        <w:t xml:space="preserve"> – </w:t>
      </w:r>
      <w:r>
        <w:rPr>
          <w:rFonts w:eastAsia="" w:cs="Times New Roman" w:eastAsiaTheme="majorEastAsia"/>
          <w:sz w:val="28"/>
          <w:szCs w:val="28"/>
        </w:rPr>
        <w:t>незрелые</w:t>
      </w:r>
      <w:r>
        <w:rPr>
          <w:rFonts w:eastAsia="" w:eastAsiaTheme="majorEastAsia"/>
        </w:rPr>
        <w:t xml:space="preserve"> хиломикроны</w:t>
      </w:r>
    </w:p>
    <w:p>
      <w:pPr>
        <w:pStyle w:val="Normal"/>
        <w:ind w:hanging="0"/>
        <w:rPr>
          <w:rFonts w:eastAsia="" w:eastAsiaTheme="majorEastAsia"/>
        </w:rPr>
      </w:pPr>
      <w:r>
        <w:rPr>
          <w:rFonts w:eastAsia="" w:eastAsiaTheme="majorEastAsia"/>
        </w:rPr>
        <w:tab/>
        <w:t>ЛХАТ  – лецитин-холестерол-ацилтрансфераза</w:t>
      </w:r>
    </w:p>
    <w:p>
      <w:pPr>
        <w:pStyle w:val="Normal"/>
        <w:ind w:hanging="0"/>
        <w:rPr>
          <w:rFonts w:eastAsia="" w:eastAsiaTheme="majorEastAsia"/>
        </w:rPr>
      </w:pPr>
      <w:r>
        <w:rPr>
          <w:rFonts w:eastAsia="" w:eastAsiaTheme="majorEastAsia"/>
        </w:rPr>
        <w:tab/>
        <w:t>БПЭХ  – белка, переносящего ЭХС</w:t>
      </w:r>
    </w:p>
    <w:p>
      <w:pPr>
        <w:pStyle w:val="Normal"/>
        <w:ind w:hanging="0"/>
        <w:rPr>
          <w:rFonts w:eastAsia="" w:eastAsiaTheme="majorEastAsia"/>
        </w:rPr>
      </w:pPr>
      <w:r>
        <w:rPr>
          <w:rFonts w:eastAsia="" w:eastAsiaTheme="majorEastAsia"/>
        </w:rPr>
        <w:tab/>
      </w:r>
      <w:r>
        <w:rPr>
          <w:rFonts w:eastAsia="" w:eastAsiaTheme="majorEastAsia"/>
        </w:rPr>
        <w:t>ЛП-липаза – липопротеинлипаза</w:t>
      </w:r>
    </w:p>
    <w:p>
      <w:pPr>
        <w:pStyle w:val="Normal"/>
        <w:ind w:hanging="0"/>
        <w:rPr>
          <w:rFonts w:eastAsia="" w:eastAsiaTheme="majorEastAsia"/>
          <w:color w:val="000000"/>
        </w:rPr>
      </w:pPr>
      <w:r>
        <w:rPr>
          <w:rFonts w:eastAsia="" w:cs="Times New Roman" w:eastAsiaTheme="majorEastAsia"/>
          <w:b w:val="false"/>
          <w:i w:val="false"/>
          <w:caps w:val="false"/>
          <w:smallCaps w:val="false"/>
          <w:color w:val="000000"/>
          <w:spacing w:val="0"/>
          <w:sz w:val="28"/>
          <w:szCs w:val="28"/>
        </w:rPr>
        <w:tab/>
      </w:r>
      <w:r>
        <w:rPr>
          <w:rFonts w:eastAsia="" w:cs="Times New Roman" w:eastAsiaTheme="majorEastAsia"/>
          <w:b w:val="false"/>
          <w:i w:val="false"/>
          <w:caps w:val="false"/>
          <w:smallCaps w:val="false"/>
          <w:color w:val="000000"/>
          <w:spacing w:val="0"/>
          <w:sz w:val="28"/>
          <w:szCs w:val="28"/>
        </w:rPr>
        <w:t>PCSK9 – Пропротеиновая конвертаза субтилизин-кексинового типа 9</w:t>
      </w:r>
    </w:p>
    <w:p>
      <w:pPr>
        <w:pStyle w:val="Normal"/>
        <w:ind w:hanging="0"/>
        <w:rPr>
          <w:rFonts w:eastAsia="" w:eastAsiaTheme="majorEastAsia"/>
          <w:color w:val="000000"/>
        </w:rPr>
      </w:pPr>
      <w:r>
        <w:rPr>
          <w:rFonts w:eastAsia="" w:cs="Times New Roman" w:eastAsiaTheme="majorEastAsia"/>
          <w:b w:val="false"/>
          <w:i w:val="false"/>
          <w:caps w:val="false"/>
          <w:smallCaps w:val="false"/>
          <w:color w:val="000000"/>
          <w:spacing w:val="0"/>
          <w:sz w:val="28"/>
          <w:szCs w:val="28"/>
        </w:rPr>
        <w:tab/>
        <w:t xml:space="preserve">SNP – </w:t>
      </w:r>
      <w:r>
        <w:rPr>
          <w:rFonts w:eastAsia="" w:cs="Times New Roman" w:eastAsiaTheme="majorEastAsia"/>
          <w:b w:val="false"/>
          <w:i w:val="false"/>
          <w:caps w:val="false"/>
          <w:smallCaps w:val="false"/>
          <w:color w:val="000000"/>
          <w:spacing w:val="0"/>
          <w:sz w:val="28"/>
          <w:szCs w:val="28"/>
        </w:rPr>
        <w:t>Single-nucleotide polymorphism</w:t>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28" w:name="_Toc31116487"/>
      <w:r>
        <w:rPr/>
        <w:t>ПРИЛОЖЕНИЯ</w:t>
      </w:r>
      <w:bookmarkEnd w:id="28"/>
    </w:p>
    <w:p>
      <w:pPr>
        <w:pStyle w:val="Normal"/>
        <w:rPr/>
      </w:pPr>
      <w:r>
        <w:rPr/>
      </w:r>
    </w:p>
    <w:p>
      <w:pPr>
        <w:pStyle w:val="Normal"/>
        <w:rPr/>
      </w:pPr>
      <w:r>
        <w:rPr/>
      </w:r>
      <w:r>
        <w:br w:type="page"/>
      </w:r>
    </w:p>
    <w:p>
      <w:pPr>
        <w:pStyle w:val="Heading2"/>
        <w:rPr/>
      </w:pPr>
      <w:bookmarkStart w:id="29" w:name="_Toc31116488"/>
      <w:r>
        <w:rPr/>
        <w:t>Приложение А</w:t>
      </w:r>
      <w:bookmarkEnd w:id="29"/>
    </w:p>
    <w:p>
      <w:pPr>
        <w:pStyle w:val="Normal"/>
        <w:rPr/>
      </w:pPr>
      <w:r>
        <w:rPr/>
      </w:r>
    </w:p>
    <w:p>
      <w:pPr>
        <w:pStyle w:val="Normal"/>
        <w:ind w:hanging="0"/>
        <w:jc w:val="center"/>
        <w:rPr>
          <w:b/>
          <w:b/>
        </w:rPr>
      </w:pPr>
      <w:r>
        <w:rPr>
          <w:b/>
        </w:rPr>
        <w:t>Название приложения</w:t>
      </w:r>
    </w:p>
    <w:p>
      <w:pPr>
        <w:pStyle w:val="Normal"/>
        <w:rPr/>
      </w:pPr>
      <w:r>
        <w:rPr/>
      </w:r>
    </w:p>
    <w:p>
      <w:pPr>
        <w:pStyle w:val="Normal"/>
        <w:rPr>
          <w:i/>
          <w:i/>
          <w:color w:val="FF0000"/>
          <w:sz w:val="20"/>
          <w:szCs w:val="20"/>
        </w:rPr>
      </w:pPr>
      <w:r>
        <w:rPr>
          <w:i/>
          <w:color w:val="FF0000"/>
          <w:sz w:val="20"/>
          <w:szCs w:val="20"/>
        </w:rPr>
        <w:t xml:space="preserve">В приложения </w:t>
      </w:r>
      <w:r>
        <w:rPr>
          <w:i/>
          <w:color w:val="FF0000"/>
          <w:sz w:val="20"/>
          <w:szCs w:val="20"/>
          <w:u w:val="single"/>
        </w:rPr>
        <w:t>могут быть</w:t>
      </w:r>
      <w:r>
        <w:rPr>
          <w:i/>
          <w:color w:val="FF0000"/>
          <w:sz w:val="20"/>
          <w:szCs w:val="20"/>
        </w:rPr>
        <w:t xml:space="preserve"> вынесены однотипные рисунки (например, хроматограммы, сиквенсы и т.п.) или очень большие таблицы. </w:t>
      </w:r>
    </w:p>
    <w:p>
      <w:pPr>
        <w:pStyle w:val="Normal"/>
        <w:rPr>
          <w:i/>
          <w:i/>
          <w:color w:val="FF0000"/>
          <w:sz w:val="20"/>
          <w:szCs w:val="20"/>
        </w:rPr>
      </w:pPr>
      <w:r>
        <w:rPr>
          <w:i/>
          <w:color w:val="FF0000"/>
          <w:sz w:val="20"/>
          <w:szCs w:val="20"/>
        </w:rPr>
        <w:t>Наличие приложений – не обязательное условие.</w:t>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30" w:name="_Toc31116489"/>
      <w:r>
        <w:rPr/>
        <w:t>Приложение Б</w:t>
      </w:r>
      <w:bookmarkEnd w:id="30"/>
    </w:p>
    <w:p>
      <w:pPr>
        <w:pStyle w:val="Normal"/>
        <w:rPr/>
      </w:pPr>
      <w:r>
        <w:rPr/>
      </w:r>
    </w:p>
    <w:p>
      <w:pPr>
        <w:pStyle w:val="Normal"/>
        <w:ind w:hanging="0"/>
        <w:jc w:val="center"/>
        <w:rPr>
          <w:b/>
          <w:b/>
        </w:rPr>
      </w:pPr>
      <w:r>
        <w:rPr>
          <w:b/>
        </w:rPr>
        <w:t>Публикации и участие в конференциях</w:t>
      </w:r>
    </w:p>
    <w:p>
      <w:pPr>
        <w:pStyle w:val="Normal"/>
        <w:rPr/>
      </w:pPr>
      <w:r>
        <w:rPr/>
      </w:r>
    </w:p>
    <w:p>
      <w:pPr>
        <w:pStyle w:val="Normal"/>
        <w:rPr>
          <w:i/>
          <w:i/>
          <w:color w:val="FF0000"/>
          <w:sz w:val="20"/>
          <w:szCs w:val="20"/>
        </w:rPr>
      </w:pPr>
      <w:r>
        <w:rPr>
          <w:i/>
          <w:color w:val="FF0000"/>
          <w:sz w:val="20"/>
          <w:szCs w:val="20"/>
        </w:rPr>
        <w:t>Делается при наличии публикаций.</w:t>
      </w:r>
    </w:p>
    <w:p>
      <w:pPr>
        <w:pStyle w:val="Normal"/>
        <w:rPr>
          <w:i/>
          <w:i/>
          <w:color w:val="FF0000"/>
          <w:sz w:val="20"/>
          <w:szCs w:val="20"/>
        </w:rPr>
      </w:pPr>
      <w:r>
        <w:rPr>
          <w:i/>
          <w:color w:val="FF0000"/>
          <w:sz w:val="20"/>
          <w:szCs w:val="20"/>
        </w:rPr>
      </w:r>
    </w:p>
    <w:p>
      <w:pPr>
        <w:pStyle w:val="Normal"/>
        <w:rPr>
          <w:i/>
          <w:i/>
          <w:color w:val="FF0000"/>
          <w:sz w:val="20"/>
          <w:szCs w:val="20"/>
        </w:rPr>
      </w:pPr>
      <w:r>
        <w:rPr>
          <w:i/>
          <w:color w:val="FF0000"/>
          <w:sz w:val="20"/>
          <w:szCs w:val="20"/>
        </w:rPr>
        <w:t xml:space="preserve">Если в виде списка статей и тезисов – он должны быть оформлены в формате библиографической ссылки (как в списке литературы). В этом случае указывайте всех авторов, свою фамилию подчеркнуть или выделить жирным. </w:t>
      </w:r>
    </w:p>
    <w:p>
      <w:pPr>
        <w:pStyle w:val="Normal"/>
        <w:rPr>
          <w:i/>
          <w:i/>
          <w:color w:val="FF0000"/>
          <w:sz w:val="20"/>
          <w:szCs w:val="20"/>
        </w:rPr>
      </w:pPr>
      <w:r>
        <w:rPr>
          <w:i/>
          <w:color w:val="FF0000"/>
          <w:sz w:val="20"/>
          <w:szCs w:val="20"/>
        </w:rPr>
        <w:t xml:space="preserve">Можно вставить сканы первых страниц.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footerReference w:type="default" r:id="rId23"/>
      <w:type w:val="nextPage"/>
      <w:pgSz w:w="11906" w:h="16838"/>
      <w:pgMar w:left="1418" w:right="567" w:header="0"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altName w:val="sans"/>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52944567"/>
    </w:sdtPr>
    <w:sdtContent>
      <w:p>
        <w:pPr>
          <w:pStyle w:val="Footer"/>
          <w:ind w:hanging="0"/>
          <w:jc w:val="center"/>
          <w:rPr>
            <w:sz w:val="20"/>
            <w:szCs w:val="20"/>
          </w:rPr>
        </w:pPr>
        <w:r>
          <w:rPr/>
          <w:fldChar w:fldCharType="begin"/>
        </w:r>
        <w:r>
          <w:rPr/>
          <w:instrText> PAGE </w:instrText>
        </w:r>
        <w:r>
          <w:rPr/>
          <w:fldChar w:fldCharType="separate"/>
        </w:r>
        <w:r>
          <w:rPr/>
          <w:t>40</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928" w:hanging="360"/>
      </w:pPr>
    </w:lvl>
    <w:lvl w:ilvl="1">
      <w:start w:val="2"/>
      <w:numFmt w:val="decimal"/>
      <w:lvlText w:val="%1.%2"/>
      <w:lvlJc w:val="left"/>
      <w:pPr>
        <w:tabs>
          <w:tab w:val="num" w:pos="0"/>
        </w:tabs>
        <w:ind w:left="943" w:hanging="375"/>
      </w:pPr>
      <w:rPr>
        <w:sz w:val="28"/>
      </w:rPr>
    </w:lvl>
    <w:lvl w:ilvl="2">
      <w:start w:val="1"/>
      <w:numFmt w:val="decimal"/>
      <w:lvlText w:val="%1.%2.%3"/>
      <w:lvlJc w:val="left"/>
      <w:pPr>
        <w:tabs>
          <w:tab w:val="num" w:pos="0"/>
        </w:tabs>
        <w:ind w:left="1288" w:hanging="720"/>
      </w:pPr>
      <w:rPr>
        <w:sz w:val="28"/>
      </w:rPr>
    </w:lvl>
    <w:lvl w:ilvl="3">
      <w:start w:val="1"/>
      <w:numFmt w:val="decimal"/>
      <w:lvlText w:val="%1.%2.%3.%4"/>
      <w:lvlJc w:val="left"/>
      <w:pPr>
        <w:tabs>
          <w:tab w:val="num" w:pos="0"/>
        </w:tabs>
        <w:ind w:left="1288" w:hanging="720"/>
      </w:pPr>
      <w:rPr>
        <w:sz w:val="28"/>
      </w:rPr>
    </w:lvl>
    <w:lvl w:ilvl="4">
      <w:start w:val="1"/>
      <w:numFmt w:val="decimal"/>
      <w:lvlText w:val="%1.%2.%3.%4.%5"/>
      <w:lvlJc w:val="left"/>
      <w:pPr>
        <w:tabs>
          <w:tab w:val="num" w:pos="0"/>
        </w:tabs>
        <w:ind w:left="1288" w:hanging="720"/>
      </w:pPr>
      <w:rPr>
        <w:sz w:val="28"/>
      </w:rPr>
    </w:lvl>
    <w:lvl w:ilvl="5">
      <w:start w:val="1"/>
      <w:numFmt w:val="decimal"/>
      <w:lvlText w:val="%1.%2.%3.%4.%5.%6"/>
      <w:lvlJc w:val="left"/>
      <w:pPr>
        <w:tabs>
          <w:tab w:val="num" w:pos="0"/>
        </w:tabs>
        <w:ind w:left="1648" w:hanging="1080"/>
      </w:pPr>
      <w:rPr>
        <w:sz w:val="28"/>
      </w:rPr>
    </w:lvl>
    <w:lvl w:ilvl="6">
      <w:start w:val="1"/>
      <w:numFmt w:val="decimal"/>
      <w:lvlText w:val="%1.%2.%3.%4.%5.%6.%7"/>
      <w:lvlJc w:val="left"/>
      <w:pPr>
        <w:tabs>
          <w:tab w:val="num" w:pos="0"/>
        </w:tabs>
        <w:ind w:left="1648" w:hanging="1080"/>
      </w:pPr>
      <w:rPr>
        <w:sz w:val="28"/>
      </w:rPr>
    </w:lvl>
    <w:lvl w:ilvl="7">
      <w:start w:val="1"/>
      <w:numFmt w:val="decimal"/>
      <w:lvlText w:val="%1.%2.%3.%4.%5.%6.%7.%8"/>
      <w:lvlJc w:val="left"/>
      <w:pPr>
        <w:tabs>
          <w:tab w:val="num" w:pos="0"/>
        </w:tabs>
        <w:ind w:left="2008" w:hanging="1440"/>
      </w:pPr>
      <w:rPr>
        <w:sz w:val="28"/>
      </w:rPr>
    </w:lvl>
    <w:lvl w:ilvl="8">
      <w:start w:val="1"/>
      <w:numFmt w:val="decimal"/>
      <w:lvlText w:val="%1.%2.%3.%4.%5.%6.%7.%8.%9"/>
      <w:lvlJc w:val="left"/>
      <w:pPr>
        <w:tabs>
          <w:tab w:val="num" w:pos="0"/>
        </w:tabs>
        <w:ind w:left="2008" w:hanging="1440"/>
      </w:pPr>
      <w:rPr>
        <w:sz w:val="28"/>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86671"/>
    <w:pPr>
      <w:widowControl/>
      <w:bidi w:val="0"/>
      <w:spacing w:lineRule="auto" w:line="360" w:before="0" w:after="0"/>
      <w:ind w:firstLine="709"/>
      <w:contextualSpacing/>
      <w:jc w:val="both"/>
    </w:pPr>
    <w:rPr>
      <w:rFonts w:ascii="Times New Roman" w:hAnsi="Times New Roman" w:cs="Times New Roman" w:eastAsia="" w:eastAsiaTheme="minorEastAsia"/>
      <w:color w:val="auto"/>
      <w:kern w:val="0"/>
      <w:sz w:val="28"/>
      <w:szCs w:val="28"/>
      <w:lang w:val="ru-RU" w:eastAsia="ru-RU" w:bidi="ar-SA"/>
    </w:rPr>
  </w:style>
  <w:style w:type="paragraph" w:styleId="Heading1">
    <w:name w:val="Heading 1"/>
    <w:basedOn w:val="Normal"/>
    <w:next w:val="Normal"/>
    <w:link w:val="10"/>
    <w:uiPriority w:val="9"/>
    <w:qFormat/>
    <w:rsid w:val="002f5d71"/>
    <w:pPr>
      <w:keepNext w:val="true"/>
      <w:keepLines/>
      <w:spacing w:before="0" w:after="480"/>
      <w:ind w:hanging="0"/>
      <w:contextualSpacing/>
      <w:jc w:val="center"/>
      <w:outlineLvl w:val="0"/>
    </w:pPr>
    <w:rPr>
      <w:rFonts w:eastAsia="" w:eastAsiaTheme="majorEastAsia"/>
      <w:b/>
      <w:bCs/>
    </w:rPr>
  </w:style>
  <w:style w:type="paragraph" w:styleId="Heading2">
    <w:name w:val="Heading 2"/>
    <w:basedOn w:val="Normal"/>
    <w:next w:val="Normal"/>
    <w:link w:val="20"/>
    <w:uiPriority w:val="9"/>
    <w:unhideWhenUsed/>
    <w:qFormat/>
    <w:rsid w:val="002f5d71"/>
    <w:pPr>
      <w:keepNext w:val="true"/>
      <w:keepLines/>
      <w:spacing w:before="0" w:after="480"/>
      <w:ind w:hanging="0"/>
      <w:contextualSpacing/>
      <w:jc w:val="center"/>
      <w:outlineLvl w:val="1"/>
    </w:pPr>
    <w:rPr>
      <w:rFonts w:eastAsia="" w:eastAsiaTheme="majorEastAsia"/>
      <w:b/>
      <w:bCs/>
    </w:rPr>
  </w:style>
  <w:style w:type="paragraph" w:styleId="Heading3">
    <w:name w:val="Heading 3"/>
    <w:basedOn w:val="Normal"/>
    <w:next w:val="Normal"/>
    <w:link w:val="30"/>
    <w:uiPriority w:val="9"/>
    <w:unhideWhenUsed/>
    <w:qFormat/>
    <w:rsid w:val="002f5d71"/>
    <w:pPr>
      <w:keepNext w:val="true"/>
      <w:keepLines/>
      <w:spacing w:before="0" w:after="480"/>
      <w:contextualSpacing/>
      <w:outlineLvl w:val="2"/>
    </w:pPr>
    <w:rPr>
      <w:rFonts w:eastAsia="Times New Roman"/>
      <w:b/>
      <w:bCs/>
    </w:rPr>
  </w:style>
  <w:style w:type="paragraph" w:styleId="Heading4">
    <w:name w:val="Heading 4"/>
    <w:basedOn w:val="Normal"/>
    <w:next w:val="Normal"/>
    <w:link w:val="40"/>
    <w:uiPriority w:val="9"/>
    <w:unhideWhenUsed/>
    <w:qFormat/>
    <w:rsid w:val="00a72c18"/>
    <w:pPr>
      <w:keepNext w:val="true"/>
      <w:keepLines/>
      <w:spacing w:before="200" w:after="0"/>
      <w:contextualSpacing/>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50"/>
    <w:uiPriority w:val="9"/>
    <w:semiHidden/>
    <w:unhideWhenUsed/>
    <w:qFormat/>
    <w:rsid w:val="00a72c18"/>
    <w:pPr>
      <w:keepNext w:val="true"/>
      <w:keepLines/>
      <w:spacing w:before="200" w:after="0"/>
      <w:contextualSpacing/>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60"/>
    <w:uiPriority w:val="9"/>
    <w:semiHidden/>
    <w:unhideWhenUsed/>
    <w:qFormat/>
    <w:rsid w:val="00a72c18"/>
    <w:pPr>
      <w:keepNext w:val="true"/>
      <w:keepLines/>
      <w:spacing w:before="200" w:after="0"/>
      <w:contextualSpacing/>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70"/>
    <w:uiPriority w:val="9"/>
    <w:semiHidden/>
    <w:unhideWhenUsed/>
    <w:qFormat/>
    <w:rsid w:val="00a72c18"/>
    <w:pPr>
      <w:keepNext w:val="true"/>
      <w:keepLines/>
      <w:spacing w:before="200" w:after="0"/>
      <w:contextualSpacing/>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80"/>
    <w:uiPriority w:val="9"/>
    <w:semiHidden/>
    <w:unhideWhenUsed/>
    <w:qFormat/>
    <w:rsid w:val="00a72c18"/>
    <w:pPr>
      <w:keepNext w:val="true"/>
      <w:keepLines/>
      <w:spacing w:before="200" w:after="0"/>
      <w:contextualSpacing/>
      <w:outlineLvl w:val="7"/>
    </w:pPr>
    <w:rPr>
      <w:rFonts w:ascii="Cambria" w:hAnsi="Cambria" w:eastAsia="" w:cs="" w:asciiTheme="majorHAnsi" w:cstheme="majorBidi" w:eastAsiaTheme="majorEastAsia" w:hAnsiTheme="majorHAnsi"/>
      <w:color w:val="4F81BD" w:themeColor="accent1"/>
      <w:sz w:val="20"/>
      <w:szCs w:val="20"/>
    </w:rPr>
  </w:style>
  <w:style w:type="paragraph" w:styleId="Heading9">
    <w:name w:val="Heading 9"/>
    <w:basedOn w:val="Normal"/>
    <w:next w:val="Normal"/>
    <w:link w:val="90"/>
    <w:uiPriority w:val="9"/>
    <w:semiHidden/>
    <w:unhideWhenUsed/>
    <w:qFormat/>
    <w:rsid w:val="00a72c18"/>
    <w:pPr>
      <w:keepNext w:val="true"/>
      <w:keepLines/>
      <w:spacing w:before="200" w:after="0"/>
      <w:contextualSpacing/>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TML" w:customStyle="1">
    <w:name w:val="Стандартный HTML Знак"/>
    <w:basedOn w:val="DefaultParagraphFont"/>
    <w:link w:val="HTML"/>
    <w:uiPriority w:val="99"/>
    <w:qFormat/>
    <w:rsid w:val="00183eb7"/>
    <w:rPr>
      <w:rFonts w:ascii="Courier New" w:hAnsi="Courier New" w:eastAsia="Times New Roman" w:cs="Courier New"/>
      <w:sz w:val="20"/>
      <w:szCs w:val="20"/>
      <w:lang w:eastAsia="ru-RU"/>
    </w:rPr>
  </w:style>
  <w:style w:type="character" w:styleId="Style5" w:customStyle="1">
    <w:name w:val="Текст выноски Знак"/>
    <w:basedOn w:val="DefaultParagraphFont"/>
    <w:link w:val="a6"/>
    <w:uiPriority w:val="99"/>
    <w:semiHidden/>
    <w:qFormat/>
    <w:rsid w:val="00de23f8"/>
    <w:rPr>
      <w:rFonts w:ascii="Tahoma" w:hAnsi="Tahoma" w:cs="Tahoma"/>
      <w:sz w:val="16"/>
      <w:szCs w:val="16"/>
    </w:rPr>
  </w:style>
  <w:style w:type="character" w:styleId="Style6" w:customStyle="1">
    <w:name w:val="Абзац списка Знак"/>
    <w:link w:val="a3"/>
    <w:uiPriority w:val="34"/>
    <w:qFormat/>
    <w:locked/>
    <w:rsid w:val="004c259f"/>
    <w:rPr/>
  </w:style>
  <w:style w:type="character" w:styleId="Style7" w:customStyle="1">
    <w:name w:val="Верхний колонтитул Знак"/>
    <w:basedOn w:val="DefaultParagraphFont"/>
    <w:link w:val="a8"/>
    <w:uiPriority w:val="99"/>
    <w:qFormat/>
    <w:rsid w:val="009f56b1"/>
    <w:rPr/>
  </w:style>
  <w:style w:type="character" w:styleId="Style8" w:customStyle="1">
    <w:name w:val="Нижний колонтитул Знак"/>
    <w:basedOn w:val="DefaultParagraphFont"/>
    <w:link w:val="aa"/>
    <w:uiPriority w:val="99"/>
    <w:qFormat/>
    <w:rsid w:val="009f56b1"/>
    <w:rPr/>
  </w:style>
  <w:style w:type="character" w:styleId="1" w:customStyle="1">
    <w:name w:val="Заголовок 1 Знак"/>
    <w:basedOn w:val="DefaultParagraphFont"/>
    <w:link w:val="1"/>
    <w:uiPriority w:val="9"/>
    <w:qFormat/>
    <w:rsid w:val="002f5d71"/>
    <w:rPr>
      <w:rFonts w:ascii="Times New Roman" w:hAnsi="Times New Roman" w:eastAsia="" w:cs="Times New Roman" w:eastAsiaTheme="majorEastAsia"/>
      <w:b/>
      <w:bCs/>
      <w:sz w:val="28"/>
      <w:szCs w:val="28"/>
    </w:rPr>
  </w:style>
  <w:style w:type="character" w:styleId="2" w:customStyle="1">
    <w:name w:val="Заголовок 2 Знак"/>
    <w:basedOn w:val="DefaultParagraphFont"/>
    <w:link w:val="2"/>
    <w:uiPriority w:val="9"/>
    <w:qFormat/>
    <w:rsid w:val="002f5d71"/>
    <w:rPr>
      <w:rFonts w:ascii="Times New Roman" w:hAnsi="Times New Roman" w:eastAsia="" w:cs="Times New Roman" w:eastAsiaTheme="majorEastAsia"/>
      <w:b/>
      <w:bCs/>
      <w:sz w:val="28"/>
      <w:szCs w:val="28"/>
    </w:rPr>
  </w:style>
  <w:style w:type="character" w:styleId="3" w:customStyle="1">
    <w:name w:val="Заголовок 3 Знак"/>
    <w:basedOn w:val="DefaultParagraphFont"/>
    <w:link w:val="3"/>
    <w:uiPriority w:val="9"/>
    <w:qFormat/>
    <w:rsid w:val="002f5d71"/>
    <w:rPr>
      <w:rFonts w:ascii="Times New Roman" w:hAnsi="Times New Roman" w:eastAsia="Times New Roman" w:cs="Times New Roman"/>
      <w:b/>
      <w:bCs/>
      <w:sz w:val="28"/>
      <w:szCs w:val="28"/>
    </w:rPr>
  </w:style>
  <w:style w:type="character" w:styleId="4" w:customStyle="1">
    <w:name w:val="Заголовок 4 Знак"/>
    <w:basedOn w:val="DefaultParagraphFont"/>
    <w:link w:val="4"/>
    <w:uiPriority w:val="9"/>
    <w:qFormat/>
    <w:rsid w:val="00a72c18"/>
    <w:rPr>
      <w:rFonts w:ascii="Cambria" w:hAnsi="Cambria" w:eastAsia="" w:cs="" w:asciiTheme="majorHAnsi" w:cstheme="majorBidi" w:eastAsiaTheme="majorEastAsia" w:hAnsiTheme="majorHAnsi"/>
      <w:b/>
      <w:bCs/>
      <w:i/>
      <w:iCs/>
      <w:color w:val="4F81BD" w:themeColor="accent1"/>
    </w:rPr>
  </w:style>
  <w:style w:type="character" w:styleId="5" w:customStyle="1">
    <w:name w:val="Заголовок 5 Знак"/>
    <w:basedOn w:val="DefaultParagraphFont"/>
    <w:link w:val="5"/>
    <w:uiPriority w:val="9"/>
    <w:semiHidden/>
    <w:qFormat/>
    <w:rsid w:val="00a72c18"/>
    <w:rPr>
      <w:rFonts w:ascii="Cambria" w:hAnsi="Cambria" w:eastAsia="" w:cs="" w:asciiTheme="majorHAnsi" w:cstheme="majorBidi" w:eastAsiaTheme="majorEastAsia" w:hAnsiTheme="majorHAnsi"/>
      <w:color w:val="243F60" w:themeColor="accent1" w:themeShade="7f"/>
    </w:rPr>
  </w:style>
  <w:style w:type="character" w:styleId="6" w:customStyle="1">
    <w:name w:val="Заголовок 6 Знак"/>
    <w:basedOn w:val="DefaultParagraphFont"/>
    <w:link w:val="6"/>
    <w:uiPriority w:val="9"/>
    <w:semiHidden/>
    <w:qFormat/>
    <w:rsid w:val="00a72c18"/>
    <w:rPr>
      <w:rFonts w:ascii="Cambria" w:hAnsi="Cambria" w:eastAsia="" w:cs="" w:asciiTheme="majorHAnsi" w:cstheme="majorBidi" w:eastAsiaTheme="majorEastAsia" w:hAnsiTheme="majorHAnsi"/>
      <w:i/>
      <w:iCs/>
      <w:color w:val="243F60" w:themeColor="accent1" w:themeShade="7f"/>
    </w:rPr>
  </w:style>
  <w:style w:type="character" w:styleId="7" w:customStyle="1">
    <w:name w:val="Заголовок 7 Знак"/>
    <w:basedOn w:val="DefaultParagraphFont"/>
    <w:link w:val="7"/>
    <w:uiPriority w:val="9"/>
    <w:semiHidden/>
    <w:qFormat/>
    <w:rsid w:val="00a72c18"/>
    <w:rPr>
      <w:rFonts w:ascii="Cambria" w:hAnsi="Cambria" w:eastAsia="" w:cs="" w:asciiTheme="majorHAnsi" w:cstheme="majorBidi" w:eastAsiaTheme="majorEastAsia" w:hAnsiTheme="majorHAnsi"/>
      <w:i/>
      <w:iCs/>
      <w:color w:val="404040" w:themeColor="text1" w:themeTint="bf"/>
    </w:rPr>
  </w:style>
  <w:style w:type="character" w:styleId="8" w:customStyle="1">
    <w:name w:val="Заголовок 8 Знак"/>
    <w:basedOn w:val="DefaultParagraphFont"/>
    <w:link w:val="8"/>
    <w:uiPriority w:val="9"/>
    <w:semiHidden/>
    <w:qFormat/>
    <w:rsid w:val="00a72c18"/>
    <w:rPr>
      <w:rFonts w:ascii="Cambria" w:hAnsi="Cambria" w:eastAsia="" w:cs="" w:asciiTheme="majorHAnsi" w:cstheme="majorBidi" w:eastAsiaTheme="majorEastAsia" w:hAnsiTheme="majorHAnsi"/>
      <w:color w:val="4F81BD" w:themeColor="accent1"/>
      <w:sz w:val="20"/>
      <w:szCs w:val="20"/>
    </w:rPr>
  </w:style>
  <w:style w:type="character" w:styleId="9" w:customStyle="1">
    <w:name w:val="Заголовок 9 Знак"/>
    <w:basedOn w:val="DefaultParagraphFont"/>
    <w:link w:val="9"/>
    <w:uiPriority w:val="9"/>
    <w:semiHidden/>
    <w:qFormat/>
    <w:rsid w:val="00a72c18"/>
    <w:rPr>
      <w:rFonts w:ascii="Cambria" w:hAnsi="Cambria" w:eastAsia="" w:cs="" w:asciiTheme="majorHAnsi" w:cstheme="majorBidi" w:eastAsiaTheme="majorEastAsia" w:hAnsiTheme="majorHAnsi"/>
      <w:i/>
      <w:iCs/>
      <w:color w:val="404040" w:themeColor="text1" w:themeTint="bf"/>
      <w:sz w:val="20"/>
      <w:szCs w:val="20"/>
    </w:rPr>
  </w:style>
  <w:style w:type="character" w:styleId="Style9" w:customStyle="1">
    <w:name w:val="Название Знак"/>
    <w:basedOn w:val="DefaultParagraphFont"/>
    <w:link w:val="ad"/>
    <w:uiPriority w:val="10"/>
    <w:qFormat/>
    <w:rsid w:val="00a72c18"/>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Style10" w:customStyle="1">
    <w:name w:val="Подзаголовок Знак"/>
    <w:basedOn w:val="DefaultParagraphFont"/>
    <w:link w:val="af"/>
    <w:uiPriority w:val="11"/>
    <w:qFormat/>
    <w:rsid w:val="00a72c18"/>
    <w:rPr>
      <w:rFonts w:ascii="Cambria" w:hAnsi="Cambria" w:eastAsia="" w:cs="" w:asciiTheme="majorHAnsi" w:cstheme="majorBidi" w:eastAsiaTheme="majorEastAsia" w:hAnsiTheme="majorHAnsi"/>
      <w:i/>
      <w:iCs/>
      <w:color w:val="4F81BD" w:themeColor="accent1"/>
      <w:spacing w:val="15"/>
      <w:sz w:val="24"/>
      <w:szCs w:val="24"/>
    </w:rPr>
  </w:style>
  <w:style w:type="character" w:styleId="Strong">
    <w:name w:val="Strong"/>
    <w:basedOn w:val="DefaultParagraphFont"/>
    <w:uiPriority w:val="22"/>
    <w:qFormat/>
    <w:rsid w:val="00a72c18"/>
    <w:rPr>
      <w:b/>
      <w:bCs/>
    </w:rPr>
  </w:style>
  <w:style w:type="character" w:styleId="Emphasis">
    <w:name w:val="Emphasis"/>
    <w:basedOn w:val="DefaultParagraphFont"/>
    <w:uiPriority w:val="20"/>
    <w:qFormat/>
    <w:rsid w:val="00a72c18"/>
    <w:rPr>
      <w:i/>
      <w:iCs/>
    </w:rPr>
  </w:style>
  <w:style w:type="character" w:styleId="21" w:customStyle="1">
    <w:name w:val="Цитата 2 Знак"/>
    <w:basedOn w:val="DefaultParagraphFont"/>
    <w:link w:val="21"/>
    <w:uiPriority w:val="29"/>
    <w:qFormat/>
    <w:rsid w:val="00a72c18"/>
    <w:rPr>
      <w:i/>
      <w:iCs/>
      <w:color w:val="000000" w:themeColor="text1"/>
    </w:rPr>
  </w:style>
  <w:style w:type="character" w:styleId="Style11" w:customStyle="1">
    <w:name w:val="Выделенная цитата Знак"/>
    <w:basedOn w:val="DefaultParagraphFont"/>
    <w:link w:val="af4"/>
    <w:uiPriority w:val="30"/>
    <w:qFormat/>
    <w:rsid w:val="00a72c18"/>
    <w:rPr>
      <w:b/>
      <w:bCs/>
      <w:i/>
      <w:iCs/>
      <w:color w:val="4F81BD" w:themeColor="accent1"/>
    </w:rPr>
  </w:style>
  <w:style w:type="character" w:styleId="SubtleEmphasis">
    <w:name w:val="Subtle Emphasis"/>
    <w:basedOn w:val="DefaultParagraphFont"/>
    <w:uiPriority w:val="19"/>
    <w:qFormat/>
    <w:rsid w:val="00a72c18"/>
    <w:rPr>
      <w:i/>
      <w:iCs/>
      <w:color w:val="808080" w:themeColor="text1" w:themeTint="7f"/>
    </w:rPr>
  </w:style>
  <w:style w:type="character" w:styleId="IntenseEmphasis">
    <w:name w:val="Intense Emphasis"/>
    <w:basedOn w:val="DefaultParagraphFont"/>
    <w:uiPriority w:val="21"/>
    <w:qFormat/>
    <w:rsid w:val="00a72c18"/>
    <w:rPr>
      <w:b/>
      <w:bCs/>
      <w:i/>
      <w:iCs/>
      <w:color w:val="4F81BD" w:themeColor="accent1"/>
    </w:rPr>
  </w:style>
  <w:style w:type="character" w:styleId="SubtleReference">
    <w:name w:val="Subtle Reference"/>
    <w:basedOn w:val="DefaultParagraphFont"/>
    <w:uiPriority w:val="31"/>
    <w:qFormat/>
    <w:rsid w:val="00a72c18"/>
    <w:rPr>
      <w:smallCaps/>
      <w:color w:val="C0504D" w:themeColor="accent2"/>
      <w:u w:val="single"/>
    </w:rPr>
  </w:style>
  <w:style w:type="character" w:styleId="IntenseReference">
    <w:name w:val="Intense Reference"/>
    <w:basedOn w:val="DefaultParagraphFont"/>
    <w:uiPriority w:val="32"/>
    <w:qFormat/>
    <w:rsid w:val="00a72c18"/>
    <w:rPr>
      <w:b/>
      <w:bCs/>
      <w:smallCaps/>
      <w:color w:val="C0504D" w:themeColor="accent2"/>
      <w:spacing w:val="5"/>
      <w:u w:val="single"/>
    </w:rPr>
  </w:style>
  <w:style w:type="character" w:styleId="BookTitle">
    <w:name w:val="Book Title"/>
    <w:basedOn w:val="DefaultParagraphFont"/>
    <w:uiPriority w:val="33"/>
    <w:qFormat/>
    <w:rsid w:val="00a72c18"/>
    <w:rPr>
      <w:b/>
      <w:bCs/>
      <w:smallCaps/>
      <w:spacing w:val="5"/>
    </w:rPr>
  </w:style>
  <w:style w:type="character" w:styleId="InternetLink">
    <w:name w:val="Hyperlink"/>
    <w:basedOn w:val="DefaultParagraphFont"/>
    <w:uiPriority w:val="99"/>
    <w:unhideWhenUsed/>
    <w:rsid w:val="00a72c18"/>
    <w:rPr>
      <w:color w:val="0000FF" w:themeColor="hyperlink"/>
      <w:u w:val="single"/>
    </w:rPr>
  </w:style>
  <w:style w:type="character" w:styleId="Style12" w:customStyle="1">
    <w:name w:val="Текст сноски Знак"/>
    <w:basedOn w:val="DefaultParagraphFont"/>
    <w:link w:val="afd"/>
    <w:uiPriority w:val="99"/>
    <w:semiHidden/>
    <w:qFormat/>
    <w:rsid w:val="00a17ba4"/>
    <w:rPr>
      <w:sz w:val="20"/>
      <w:szCs w:val="20"/>
    </w:rPr>
  </w:style>
  <w:style w:type="character" w:styleId="FootnoteCharacters">
    <w:name w:val="Footnote Characters"/>
    <w:basedOn w:val="DefaultParagraphFont"/>
    <w:uiPriority w:val="99"/>
    <w:semiHidden/>
    <w:unhideWhenUsed/>
    <w:qFormat/>
    <w:rsid w:val="00a17ba4"/>
    <w:rPr>
      <w:vertAlign w:val="superscript"/>
    </w:rPr>
  </w:style>
  <w:style w:type="character" w:styleId="FootnoteAnchor">
    <w:name w:val="Footnote Anchor"/>
    <w:rPr>
      <w:vertAlign w:val="superscript"/>
    </w:rPr>
  </w:style>
  <w:style w:type="character" w:styleId="EndnoteCharacters">
    <w:name w:val="Endnote Characters"/>
    <w:basedOn w:val="DefaultParagraphFont"/>
    <w:uiPriority w:val="99"/>
    <w:semiHidden/>
    <w:unhideWhenUsed/>
    <w:qFormat/>
    <w:rsid w:val="00303fd0"/>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8d086b"/>
    <w:rPr>
      <w:sz w:val="16"/>
      <w:szCs w:val="16"/>
    </w:rPr>
  </w:style>
  <w:style w:type="character" w:styleId="Style13" w:customStyle="1">
    <w:name w:val="Текст примечания Знак"/>
    <w:basedOn w:val="DefaultParagraphFont"/>
    <w:link w:val="aff3"/>
    <w:uiPriority w:val="99"/>
    <w:semiHidden/>
    <w:qFormat/>
    <w:rsid w:val="008d086b"/>
    <w:rPr>
      <w:sz w:val="20"/>
      <w:szCs w:val="20"/>
    </w:rPr>
  </w:style>
  <w:style w:type="character" w:styleId="Style14" w:customStyle="1">
    <w:name w:val="Тема примечания Знак"/>
    <w:basedOn w:val="Style13"/>
    <w:link w:val="aff5"/>
    <w:uiPriority w:val="99"/>
    <w:semiHidden/>
    <w:qFormat/>
    <w:rsid w:val="008d086b"/>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AR PL KaitiM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link w:val="a4"/>
    <w:uiPriority w:val="34"/>
    <w:qFormat/>
    <w:rsid w:val="00a72c18"/>
    <w:pPr>
      <w:ind w:left="720" w:firstLine="709"/>
    </w:pPr>
    <w:rPr/>
  </w:style>
  <w:style w:type="paragraph" w:styleId="H2" w:customStyle="1">
    <w:name w:val="h2"/>
    <w:basedOn w:val="Normal"/>
    <w:qFormat/>
    <w:rsid w:val="004d6c67"/>
    <w:pPr>
      <w:spacing w:lineRule="auto" w:line="240" w:beforeAutospacing="1" w:afterAutospacing="1"/>
      <w:contextualSpacing/>
    </w:pPr>
    <w:rPr>
      <w:rFonts w:eastAsia="Times New Roman"/>
      <w:sz w:val="24"/>
      <w:szCs w:val="24"/>
    </w:rPr>
  </w:style>
  <w:style w:type="paragraph" w:styleId="HTMLPreformatted">
    <w:name w:val="HTML Preformatted"/>
    <w:basedOn w:val="Normal"/>
    <w:link w:val="HTML0"/>
    <w:uiPriority w:val="99"/>
    <w:unhideWhenUsed/>
    <w:qFormat/>
    <w:rsid w:val="00183eb7"/>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rPr>
  </w:style>
  <w:style w:type="paragraph" w:styleId="BalloonText">
    <w:name w:val="Balloon Text"/>
    <w:basedOn w:val="Normal"/>
    <w:link w:val="a7"/>
    <w:uiPriority w:val="99"/>
    <w:semiHidden/>
    <w:unhideWhenUsed/>
    <w:qFormat/>
    <w:rsid w:val="00de23f8"/>
    <w:pPr>
      <w:spacing w:lineRule="auto" w:line="24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a9"/>
    <w:uiPriority w:val="99"/>
    <w:unhideWhenUsed/>
    <w:rsid w:val="009f56b1"/>
    <w:pPr>
      <w:tabs>
        <w:tab w:val="clear" w:pos="709"/>
        <w:tab w:val="center" w:pos="4677" w:leader="none"/>
        <w:tab w:val="right" w:pos="9355" w:leader="none"/>
      </w:tabs>
      <w:spacing w:lineRule="auto" w:line="240"/>
    </w:pPr>
    <w:rPr/>
  </w:style>
  <w:style w:type="paragraph" w:styleId="Footer">
    <w:name w:val="Footer"/>
    <w:basedOn w:val="Normal"/>
    <w:link w:val="ab"/>
    <w:uiPriority w:val="99"/>
    <w:unhideWhenUsed/>
    <w:rsid w:val="009f56b1"/>
    <w:pPr>
      <w:tabs>
        <w:tab w:val="clear" w:pos="709"/>
        <w:tab w:val="center" w:pos="4677" w:leader="none"/>
        <w:tab w:val="right" w:pos="9355" w:leader="none"/>
      </w:tabs>
      <w:spacing w:lineRule="auto" w:line="240"/>
    </w:pPr>
    <w:rPr/>
  </w:style>
  <w:style w:type="paragraph" w:styleId="Caption1">
    <w:name w:val="caption"/>
    <w:basedOn w:val="Normal"/>
    <w:next w:val="Normal"/>
    <w:uiPriority w:val="35"/>
    <w:unhideWhenUsed/>
    <w:qFormat/>
    <w:rsid w:val="00a72c18"/>
    <w:pPr>
      <w:spacing w:lineRule="auto" w:line="240"/>
    </w:pPr>
    <w:rPr>
      <w:b/>
      <w:bCs/>
      <w:color w:val="4F81BD" w:themeColor="accent1"/>
      <w:sz w:val="18"/>
      <w:szCs w:val="18"/>
    </w:rPr>
  </w:style>
  <w:style w:type="paragraph" w:styleId="Title">
    <w:name w:val="Title"/>
    <w:basedOn w:val="Normal"/>
    <w:next w:val="Normal"/>
    <w:link w:val="ae"/>
    <w:uiPriority w:val="10"/>
    <w:qFormat/>
    <w:rsid w:val="00a72c18"/>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af0"/>
    <w:uiPriority w:val="11"/>
    <w:qFormat/>
    <w:rsid w:val="00a72c18"/>
    <w:pPr>
      <w:ind w:firstLine="709"/>
    </w:pPr>
    <w:rPr>
      <w:rFonts w:ascii="Cambria" w:hAnsi="Cambria" w:eastAsia="" w:cs="" w:asciiTheme="majorHAnsi" w:cstheme="majorBidi" w:eastAsiaTheme="majorEastAsia" w:hAnsiTheme="majorHAnsi"/>
      <w:i/>
      <w:iCs/>
      <w:color w:val="4F81BD" w:themeColor="accent1"/>
      <w:spacing w:val="15"/>
      <w:sz w:val="24"/>
      <w:szCs w:val="24"/>
    </w:rPr>
  </w:style>
  <w:style w:type="paragraph" w:styleId="NoSpacing">
    <w:name w:val="No Spacing"/>
    <w:uiPriority w:val="1"/>
    <w:qFormat/>
    <w:rsid w:val="00a72c18"/>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ru-RU" w:eastAsia="ru-RU" w:bidi="ar-SA"/>
    </w:rPr>
  </w:style>
  <w:style w:type="paragraph" w:styleId="Quote">
    <w:name w:val="Quote"/>
    <w:basedOn w:val="Normal"/>
    <w:next w:val="Normal"/>
    <w:link w:val="22"/>
    <w:uiPriority w:val="29"/>
    <w:qFormat/>
    <w:rsid w:val="00a72c18"/>
    <w:pPr/>
    <w:rPr>
      <w:i/>
      <w:iCs/>
      <w:color w:val="000000" w:themeColor="text1"/>
    </w:rPr>
  </w:style>
  <w:style w:type="paragraph" w:styleId="IntenseQuote">
    <w:name w:val="Intense Quote"/>
    <w:basedOn w:val="Normal"/>
    <w:next w:val="Normal"/>
    <w:link w:val="af5"/>
    <w:uiPriority w:val="30"/>
    <w:qFormat/>
    <w:rsid w:val="00a72c18"/>
    <w:pPr>
      <w:pBdr>
        <w:bottom w:val="single" w:sz="4" w:space="4" w:color="4F81BD"/>
      </w:pBdr>
      <w:spacing w:before="200" w:after="280"/>
      <w:ind w:left="936" w:right="936" w:firstLine="709"/>
      <w:contextualSpacing/>
    </w:pPr>
    <w:rPr>
      <w:b/>
      <w:bCs/>
      <w:i/>
      <w:iCs/>
      <w:color w:val="4F81BD" w:themeColor="accent1"/>
    </w:rPr>
  </w:style>
  <w:style w:type="paragraph" w:styleId="TOCHeading">
    <w:name w:val="TOC Heading"/>
    <w:basedOn w:val="Heading1"/>
    <w:next w:val="Normal"/>
    <w:uiPriority w:val="39"/>
    <w:unhideWhenUsed/>
    <w:qFormat/>
    <w:rsid w:val="002f5d71"/>
    <w:pPr/>
    <w:rPr/>
  </w:style>
  <w:style w:type="paragraph" w:styleId="Contents1">
    <w:name w:val="TOC 1"/>
    <w:basedOn w:val="Normal"/>
    <w:next w:val="Normal"/>
    <w:autoRedefine/>
    <w:uiPriority w:val="39"/>
    <w:unhideWhenUsed/>
    <w:qFormat/>
    <w:rsid w:val="00a72c18"/>
    <w:pPr>
      <w:spacing w:before="0" w:after="100"/>
      <w:contextualSpacing/>
    </w:pPr>
    <w:rPr/>
  </w:style>
  <w:style w:type="paragraph" w:styleId="Contents2">
    <w:name w:val="TOC 2"/>
    <w:basedOn w:val="Normal"/>
    <w:next w:val="Normal"/>
    <w:autoRedefine/>
    <w:uiPriority w:val="39"/>
    <w:unhideWhenUsed/>
    <w:qFormat/>
    <w:rsid w:val="002a6e68"/>
    <w:pPr>
      <w:tabs>
        <w:tab w:val="clear" w:pos="709"/>
        <w:tab w:val="left" w:pos="660" w:leader="none"/>
        <w:tab w:val="right" w:pos="9345" w:leader="dot"/>
      </w:tabs>
      <w:spacing w:before="0" w:after="100"/>
      <w:ind w:left="220" w:firstLine="709"/>
      <w:contextualSpacing/>
    </w:pPr>
    <w:rPr/>
  </w:style>
  <w:style w:type="paragraph" w:styleId="Contents3">
    <w:name w:val="TOC 3"/>
    <w:basedOn w:val="Normal"/>
    <w:next w:val="Normal"/>
    <w:autoRedefine/>
    <w:uiPriority w:val="39"/>
    <w:unhideWhenUsed/>
    <w:qFormat/>
    <w:rsid w:val="00a72c18"/>
    <w:pPr>
      <w:spacing w:before="0" w:after="100"/>
      <w:ind w:left="440" w:firstLine="709"/>
      <w:contextualSpacing/>
    </w:pPr>
    <w:rPr/>
  </w:style>
  <w:style w:type="paragraph" w:styleId="Footnote">
    <w:name w:val="Footnote Text"/>
    <w:basedOn w:val="Normal"/>
    <w:link w:val="afe"/>
    <w:uiPriority w:val="99"/>
    <w:semiHidden/>
    <w:unhideWhenUsed/>
    <w:rsid w:val="00a17ba4"/>
    <w:pPr>
      <w:spacing w:lineRule="auto" w:line="240"/>
    </w:pPr>
    <w:rPr>
      <w:sz w:val="20"/>
      <w:szCs w:val="20"/>
    </w:rPr>
  </w:style>
  <w:style w:type="paragraph" w:styleId="NormalWeb">
    <w:name w:val="Normal (Web)"/>
    <w:basedOn w:val="Normal"/>
    <w:uiPriority w:val="99"/>
    <w:semiHidden/>
    <w:unhideWhenUsed/>
    <w:qFormat/>
    <w:rsid w:val="004d77df"/>
    <w:pPr>
      <w:spacing w:lineRule="auto" w:line="240" w:beforeAutospacing="1" w:afterAutospacing="1"/>
      <w:contextualSpacing/>
    </w:pPr>
    <w:rPr>
      <w:rFonts w:eastAsia="Times New Roman"/>
      <w:sz w:val="24"/>
      <w:szCs w:val="24"/>
    </w:rPr>
  </w:style>
  <w:style w:type="paragraph" w:styleId="Contents4">
    <w:name w:val="TOC 4"/>
    <w:basedOn w:val="Normal"/>
    <w:next w:val="Normal"/>
    <w:autoRedefine/>
    <w:uiPriority w:val="39"/>
    <w:unhideWhenUsed/>
    <w:rsid w:val="00657b83"/>
    <w:pPr>
      <w:spacing w:before="0" w:after="100"/>
      <w:ind w:left="660" w:firstLine="709"/>
      <w:contextualSpacing/>
    </w:pPr>
    <w:rPr/>
  </w:style>
  <w:style w:type="paragraph" w:styleId="Contents5">
    <w:name w:val="TOC 5"/>
    <w:basedOn w:val="Normal"/>
    <w:next w:val="Normal"/>
    <w:autoRedefine/>
    <w:uiPriority w:val="39"/>
    <w:unhideWhenUsed/>
    <w:rsid w:val="00657b83"/>
    <w:pPr>
      <w:spacing w:before="0" w:after="100"/>
      <w:ind w:left="880" w:firstLine="709"/>
      <w:contextualSpacing/>
    </w:pPr>
    <w:rPr/>
  </w:style>
  <w:style w:type="paragraph" w:styleId="Contents6">
    <w:name w:val="TOC 6"/>
    <w:basedOn w:val="Normal"/>
    <w:next w:val="Normal"/>
    <w:autoRedefine/>
    <w:uiPriority w:val="39"/>
    <w:unhideWhenUsed/>
    <w:rsid w:val="00657b83"/>
    <w:pPr>
      <w:spacing w:before="0" w:after="100"/>
      <w:ind w:left="1100" w:firstLine="709"/>
      <w:contextualSpacing/>
    </w:pPr>
    <w:rPr/>
  </w:style>
  <w:style w:type="paragraph" w:styleId="Contents7">
    <w:name w:val="TOC 7"/>
    <w:basedOn w:val="Normal"/>
    <w:next w:val="Normal"/>
    <w:autoRedefine/>
    <w:uiPriority w:val="39"/>
    <w:unhideWhenUsed/>
    <w:rsid w:val="00657b83"/>
    <w:pPr>
      <w:spacing w:before="0" w:after="100"/>
      <w:ind w:left="1320" w:firstLine="709"/>
      <w:contextualSpacing/>
    </w:pPr>
    <w:rPr/>
  </w:style>
  <w:style w:type="paragraph" w:styleId="Contents8">
    <w:name w:val="TOC 8"/>
    <w:basedOn w:val="Normal"/>
    <w:next w:val="Normal"/>
    <w:autoRedefine/>
    <w:uiPriority w:val="39"/>
    <w:unhideWhenUsed/>
    <w:rsid w:val="00657b83"/>
    <w:pPr>
      <w:spacing w:before="0" w:after="100"/>
      <w:ind w:left="1540" w:firstLine="709"/>
      <w:contextualSpacing/>
    </w:pPr>
    <w:rPr/>
  </w:style>
  <w:style w:type="paragraph" w:styleId="Contents9">
    <w:name w:val="TOC 9"/>
    <w:basedOn w:val="Normal"/>
    <w:next w:val="Normal"/>
    <w:autoRedefine/>
    <w:uiPriority w:val="39"/>
    <w:unhideWhenUsed/>
    <w:rsid w:val="00657b83"/>
    <w:pPr>
      <w:spacing w:before="0" w:after="100"/>
      <w:ind w:left="1760" w:firstLine="709"/>
      <w:contextualSpacing/>
    </w:pPr>
    <w:rPr/>
  </w:style>
  <w:style w:type="paragraph" w:styleId="Annotationtext">
    <w:name w:val="annotation text"/>
    <w:basedOn w:val="Normal"/>
    <w:link w:val="aff4"/>
    <w:uiPriority w:val="99"/>
    <w:semiHidden/>
    <w:unhideWhenUsed/>
    <w:qFormat/>
    <w:rsid w:val="008d086b"/>
    <w:pPr>
      <w:spacing w:lineRule="auto" w:line="240"/>
    </w:pPr>
    <w:rPr>
      <w:sz w:val="20"/>
      <w:szCs w:val="20"/>
    </w:rPr>
  </w:style>
  <w:style w:type="paragraph" w:styleId="Annotationsubject">
    <w:name w:val="annotation subject"/>
    <w:basedOn w:val="Annotationtext"/>
    <w:next w:val="Annotationtext"/>
    <w:link w:val="aff6"/>
    <w:uiPriority w:val="99"/>
    <w:semiHidden/>
    <w:unhideWhenUsed/>
    <w:qFormat/>
    <w:rsid w:val="008d086b"/>
    <w:pPr/>
    <w:rPr>
      <w:b/>
      <w:bCs/>
    </w:rPr>
  </w:style>
  <w:style w:type="paragraph" w:styleId="Quotations">
    <w:name w:val="Quotations"/>
    <w:basedOn w:val="Normal"/>
    <w:qFormat/>
    <w:pPr>
      <w:spacing w:before="0" w:after="283"/>
      <w:ind w:left="567" w:right="567"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5">
    <w:name w:val="Table Grid"/>
    <w:basedOn w:val="a1"/>
    <w:uiPriority w:val="59"/>
    <w:rsid w:val="00de23f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hyperlink" Target="http://hprd.org/" TargetMode="External"/><Relationship Id="rId15" Type="http://schemas.openxmlformats.org/officeDocument/2006/relationships/hyperlink" Target="http://www.genome.jp/kegg" TargetMode="External"/><Relationship Id="rId16" Type="http://schemas.openxmlformats.org/officeDocument/2006/relationships/hyperlink" Target="https://omim.org/" TargetMode="External"/><Relationship Id="rId17" Type="http://schemas.openxmlformats.org/officeDocument/2006/relationships/image" Target="media/image13.jpeg"/><Relationship Id="rId18" Type="http://schemas.openxmlformats.org/officeDocument/2006/relationships/hyperlink" Target="https://string-db.org/" TargetMode="External"/><Relationship Id="rId19" Type="http://schemas.openxmlformats.org/officeDocument/2006/relationships/hyperlink" Target="https://david.ncifcrf.gov/summary.jsp" TargetMode="External"/><Relationship Id="rId20" Type="http://schemas.openxmlformats.org/officeDocument/2006/relationships/hyperlink" Target="https://wiki.geneontology.org/Phylogenetic_Annotation_Project" TargetMode="Externa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6C5F6DE-7E02-4942-A141-F0AB1535B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Application>LibreOffice/7.0.4.2$Linux_X86_64 LibreOffice_project/00$Build-2</Application>
  <AppVersion>15.0000</AppVersion>
  <Pages>40</Pages>
  <Words>5361</Words>
  <Characters>36744</Characters>
  <CharactersWithSpaces>41928</CharactersWithSpaces>
  <Paragraphs>262</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2021-10-27T10:35:00Z</dcterms:created>
  <dc:creator>Admin</dc:creator>
  <dc:description/>
  <dc:language>ru-RU</dc:language>
  <cp:lastModifiedBy/>
  <cp:lastPrinted>2017-05-29T15:40:00Z</cp:lastPrinted>
  <dcterms:modified xsi:type="dcterms:W3CDTF">2023-06-01T13:30:44Z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http://www.zotero.org/styles/gost-r-7-0-5-2008-numeric-alphabetical</vt:lpwstr>
  </property>
  <property fmtid="{D5CDD505-2E9C-101B-9397-08002B2CF9AE}" pid="3" name="Mendeley Document_1">
    <vt:lpwstr>True</vt:lpwstr>
  </property>
  <property fmtid="{D5CDD505-2E9C-101B-9397-08002B2CF9AE}" pid="4" name="Mendeley Recent Style Id 0_1">
    <vt:lpwstr>http://www.zotero.org/styles/chicago-author-date</vt:lpwstr>
  </property>
  <property fmtid="{D5CDD505-2E9C-101B-9397-08002B2CF9AE}" pid="5" name="Mendeley Recent Style Id 1_1">
    <vt:lpwstr>http://www.zotero.org/styles/harvard1</vt:lpwstr>
  </property>
  <property fmtid="{D5CDD505-2E9C-101B-9397-08002B2CF9AE}" pid="6" name="Mendeley Recent Style Id 2_1">
    <vt:lpwstr>http://www.zotero.org/styles/ieee</vt:lpwstr>
  </property>
  <property fmtid="{D5CDD505-2E9C-101B-9397-08002B2CF9AE}" pid="7" name="Mendeley Recent Style Id 3_1">
    <vt:lpwstr>http://www.zotero.org/styles/modern-humanities-research-association</vt:lpwstr>
  </property>
  <property fmtid="{D5CDD505-2E9C-101B-9397-08002B2CF9AE}" pid="8" name="Mendeley Recent Style Id 4_1">
    <vt:lpwstr>http://www.zotero.org/styles/modern-language-association</vt:lpwstr>
  </property>
  <property fmtid="{D5CDD505-2E9C-101B-9397-08002B2CF9AE}" pid="9" name="Mendeley Recent Style Id 5_1">
    <vt:lpwstr>http://www.zotero.org/styles/national-library-of-medicine</vt:lpwstr>
  </property>
  <property fmtid="{D5CDD505-2E9C-101B-9397-08002B2CF9AE}" pid="10" name="Mendeley Recent Style Id 6_1">
    <vt:lpwstr>http://www.zotero.org/styles/nature</vt:lpwstr>
  </property>
  <property fmtid="{D5CDD505-2E9C-101B-9397-08002B2CF9AE}" pid="11" name="Mendeley Recent Style Id 7_1">
    <vt:lpwstr>http://www.zotero.org/styles/gost-r-7-0-5-2008</vt:lpwstr>
  </property>
  <property fmtid="{D5CDD505-2E9C-101B-9397-08002B2CF9AE}" pid="12" name="Mendeley Recent Style Id 8_1">
    <vt:lpwstr>http://www.zotero.org/styles/gost-r-7-0-5-2008-numeric-alphabetical</vt:lpwstr>
  </property>
  <property fmtid="{D5CDD505-2E9C-101B-9397-08002B2CF9AE}" pid="13" name="Mendeley Recent Style Id 9_1">
    <vt:lpwstr>http://www.zotero.org/styles/vancouver</vt:lpwstr>
  </property>
  <property fmtid="{D5CDD505-2E9C-101B-9397-08002B2CF9AE}" pid="14" name="Mendeley Recent Style Name 0_1">
    <vt:lpwstr>Chicago Manual of Style 16th edition (author-date)</vt:lpwstr>
  </property>
  <property fmtid="{D5CDD505-2E9C-101B-9397-08002B2CF9AE}" pid="15" name="Mendeley Recent Style Name 1_1">
    <vt:lpwstr>Harvard Reference format 1 (author-date)</vt:lpwstr>
  </property>
  <property fmtid="{D5CDD505-2E9C-101B-9397-08002B2CF9AE}" pid="16" name="Mendeley Recent Style Name 2_1">
    <vt:lpwstr>IEEE</vt:lpwstr>
  </property>
  <property fmtid="{D5CDD505-2E9C-101B-9397-08002B2CF9AE}" pid="17" name="Mendeley Recent Style Name 3_1">
    <vt:lpwstr>Modern Humanities Research Association 3rd edition (note with bibliography)</vt:lpwstr>
  </property>
  <property fmtid="{D5CDD505-2E9C-101B-9397-08002B2CF9AE}" pid="18" name="Mendeley Recent Style Name 4_1">
    <vt:lpwstr>Modern Language Association 7th edition</vt:lpwstr>
  </property>
  <property fmtid="{D5CDD505-2E9C-101B-9397-08002B2CF9AE}" pid="19" name="Mendeley Recent Style Name 5_1">
    <vt:lpwstr>National Library of Medicine</vt:lpwstr>
  </property>
  <property fmtid="{D5CDD505-2E9C-101B-9397-08002B2CF9AE}" pid="20" name="Mendeley Recent Style Name 6_1">
    <vt:lpwstr>Nature</vt:lpwstr>
  </property>
  <property fmtid="{D5CDD505-2E9C-101B-9397-08002B2CF9AE}" pid="21" name="Mendeley Recent Style Name 7_1">
    <vt:lpwstr>Russian GOST R 7.0.5-2008 (Russian)</vt:lpwstr>
  </property>
  <property fmtid="{D5CDD505-2E9C-101B-9397-08002B2CF9AE}" pid="22" name="Mendeley Recent Style Name 8_1">
    <vt:lpwstr>Russian GOST R 7.0.5-2008 (numeric, sorted alphabetically, Russian)</vt:lpwstr>
  </property>
  <property fmtid="{D5CDD505-2E9C-101B-9397-08002B2CF9AE}" pid="23" name="Mendeley Recent Style Name 9_1">
    <vt:lpwstr>Vancouver</vt:lpwstr>
  </property>
  <property fmtid="{D5CDD505-2E9C-101B-9397-08002B2CF9AE}" pid="24" name="Mendeley Unique User Id_1">
    <vt:lpwstr>1a6b7a80-0d27-3721-930a-a12f11ab2238</vt:lpwstr>
  </property>
</Properties>
</file>