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sz w:val="36"/>
          <w:szCs w:val="36"/>
          <w:highlight w:val="none"/>
        </w:rPr>
      </w:pPr>
      <w:r>
        <w:rPr>
          <w:sz w:val="36"/>
          <w:szCs w:val="36"/>
        </w:rPr>
        <w:t xml:space="preserve">Chuleta XPath</w:t>
      </w:r>
      <w:r>
        <w:rPr>
          <w:sz w:val="36"/>
          <w:szCs w:val="36"/>
        </w:rPr>
      </w:r>
    </w:p>
    <w:p>
      <w:pPr>
        <w:pBdr/>
        <w:spacing/>
        <w:ind w:firstLine="0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Operadores</w:t>
      </w:r>
      <w:r>
        <w:rPr>
          <w:sz w:val="28"/>
          <w:szCs w:val="28"/>
          <w:highlight w:val="none"/>
        </w:rPr>
      </w:r>
    </w:p>
    <w:p>
      <w:pPr>
        <w:pBdr/>
        <w:spacing/>
        <w:ind w:firstLine="0" w:left="0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Relacionales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And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Or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Not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=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!=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3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(&lt; o &gt;)(=)</w:t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Matemáticos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+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-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*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Div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4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Mod - resto</w:t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Funciones</w:t>
      </w:r>
      <w:r>
        <w:rPr>
          <w:sz w:val="28"/>
          <w:szCs w:val="28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Filtrado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9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Position()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9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Last()</w:t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Numéricas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2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Round(): redondeo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12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Abs(): valor absoluto</w:t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Agregado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0"/>
        </w:numPr>
        <w:pBdr/>
        <w:spacing/>
        <w:ind/>
        <w:rPr>
          <w:sz w:val="24"/>
          <w:szCs w:val="24"/>
          <w:highlight w:val="none"/>
        </w:rPr>
      </w:pPr>
      <w:r>
        <w:rPr>
          <w:sz w:val="22"/>
          <w:szCs w:val="22"/>
          <w:highlight w:val="none"/>
        </w:rPr>
        <w:t xml:space="preserve">Count()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0"/>
        </w:numPr>
        <w:pBdr/>
        <w:spacing/>
        <w:ind/>
        <w:rPr>
          <w:sz w:val="24"/>
          <w:szCs w:val="24"/>
          <w:highlight w:val="none"/>
        </w:rPr>
      </w:pPr>
      <w:r>
        <w:rPr>
          <w:sz w:val="22"/>
          <w:szCs w:val="22"/>
          <w:highlight w:val="none"/>
        </w:rPr>
        <w:t xml:space="preserve">Avg()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0"/>
        </w:numPr>
        <w:pBdr/>
        <w:spacing/>
        <w:ind/>
        <w:rPr>
          <w:sz w:val="24"/>
          <w:szCs w:val="24"/>
          <w:highlight w:val="none"/>
        </w:rPr>
      </w:pPr>
      <w:r>
        <w:rPr>
          <w:sz w:val="22"/>
          <w:szCs w:val="22"/>
          <w:highlight w:val="none"/>
        </w:rPr>
        <w:t xml:space="preserve">Max()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0"/>
        </w:numPr>
        <w:pBdr/>
        <w:spacing/>
        <w:ind/>
        <w:rPr>
          <w:sz w:val="24"/>
          <w:szCs w:val="24"/>
          <w:highlight w:val="none"/>
        </w:rPr>
      </w:pPr>
      <w:r>
        <w:rPr>
          <w:sz w:val="22"/>
          <w:szCs w:val="22"/>
          <w:highlight w:val="none"/>
        </w:rPr>
        <w:t xml:space="preserve">Min()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0"/>
        </w:numPr>
        <w:pBdr/>
        <w:spacing/>
        <w:ind/>
        <w:rPr>
          <w:sz w:val="24"/>
          <w:szCs w:val="24"/>
          <w:highlight w:val="none"/>
        </w:rPr>
      </w:pPr>
      <w:r>
        <w:rPr>
          <w:sz w:val="22"/>
          <w:szCs w:val="22"/>
          <w:highlight w:val="none"/>
        </w:rPr>
        <w:t xml:space="preserve">Sum()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4"/>
          <w:szCs w:val="24"/>
          <w:highlight w:val="none"/>
        </w:rPr>
      </w:r>
    </w:p>
    <w:p>
      <w:pPr>
        <w:pBdr/>
        <w:spacing/>
        <w:ind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Cadena</w:t>
      </w:r>
      <w:r>
        <w:rPr>
          <w:sz w:val="24"/>
          <w:szCs w:val="24"/>
          <w:highlight w:val="none"/>
        </w:rPr>
      </w:r>
    </w:p>
    <w:p>
      <w:pPr>
        <w:pStyle w:val="621"/>
        <w:numPr>
          <w:ilvl w:val="0"/>
          <w:numId w:val="13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Substring()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13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Starts-with()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13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Contains()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13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Normalize-space()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13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Translate()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13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String-length()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13"/>
        </w:numPr>
        <w:pBdr/>
        <w:spacing/>
        <w:ind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String(): convierte el valor del nodo o atributo en cadena</w:t>
      </w:r>
      <w:r>
        <w:rPr>
          <w:sz w:val="22"/>
          <w:szCs w:val="22"/>
          <w:highlight w:val="none"/>
        </w:rPr>
      </w:r>
    </w:p>
    <w:p>
      <w:pPr>
        <w:pBdr/>
        <w:spacing/>
        <w:ind/>
        <w:jc w:val="center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Chuleta XSLT</w:t>
      </w:r>
      <w:r>
        <w:rPr>
          <w:sz w:val="28"/>
          <w:szCs w:val="28"/>
          <w:highlight w:val="none"/>
        </w:rPr>
      </w:r>
    </w:p>
    <w:p>
      <w:pPr>
        <w:pBdr/>
        <w:spacing/>
        <w:ind w:firstLine="0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Encabezado de archivo XML</w:t>
      </w:r>
      <w:r>
        <w:rPr>
          <w:sz w:val="28"/>
          <w:szCs w:val="28"/>
          <w:highlight w:val="none"/>
        </w:rPr>
      </w:r>
    </w:p>
    <w:p>
      <w:pPr>
        <w:pBdr/>
        <w:spacing w:line="240" w:lineRule="auto"/>
        <w:ind w:firstLine="0" w:left="0"/>
        <w:rPr/>
      </w:pPr>
      <w:r>
        <w:rPr>
          <w:sz w:val="22"/>
          <w:szCs w:val="22"/>
          <w:highlight w:val="none"/>
        </w:rPr>
        <w:t xml:space="preserve">&lt;?xml version='1.0' encoding='UTF-8' ?&gt;</w:t>
      </w:r>
      <w:r>
        <w:rPr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&lt;?xml-stylesheet type='text/xsl' href='Ejemplo01.xsl'?&gt;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 w:firstLine="0" w:left="0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Encabezado de archivo XSL</w:t>
      </w:r>
      <w:r>
        <w:rPr>
          <w:sz w:val="28"/>
          <w:szCs w:val="28"/>
          <w:highlight w:val="none"/>
        </w:rPr>
      </w:r>
    </w:p>
    <w:p>
      <w:pPr>
        <w:pBdr/>
        <w:spacing w:line="240" w:lineRule="auto"/>
        <w:ind w:firstLine="0" w:left="0"/>
        <w:jc w:val="left"/>
        <w:rPr/>
      </w:pPr>
      <w:r>
        <w:rPr>
          <w:sz w:val="22"/>
          <w:szCs w:val="22"/>
          <w:highlight w:val="none"/>
        </w:rPr>
        <w:t xml:space="preserve">&lt;?xml version="1.0" encoding="UTF-8"?&gt;</w:t>
      </w:r>
      <w:r>
        <w:rPr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&lt;xsl:stylesheet version="1.0" xmlns:xsl="http://www.w3.org/1999/XSL/Transform"&gt;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Elementos Básicos (xsl:...)</w:t>
      </w:r>
      <w:r>
        <w:rPr>
          <w:sz w:val="28"/>
          <w:szCs w:val="28"/>
          <w:highlight w:val="none"/>
        </w:rPr>
      </w:r>
    </w:p>
    <w:p>
      <w:pPr>
        <w:pStyle w:val="621"/>
        <w:numPr>
          <w:ilvl w:val="0"/>
          <w:numId w:val="14"/>
        </w:numPr>
        <w:pBdr/>
        <w:spacing w:line="240" w:lineRule="auto"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Template 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14"/>
        </w:numPr>
        <w:pBdr/>
        <w:spacing w:line="240" w:lineRule="auto"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Apply-templates 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14"/>
        </w:numPr>
        <w:pBdr/>
        <w:spacing w:line="240" w:lineRule="auto"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Value-of </w:t>
      </w:r>
      <w:r/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14"/>
        </w:numPr>
        <w:pBdr/>
        <w:spacing w:line="240" w:lineRule="auto"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Sort (ordenar elementos) tiene un atributo order para elegir el orden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14"/>
        </w:numPr>
        <w:pBdr/>
        <w:spacing w:line="240" w:lineRule="auto"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Attribute o {} para poder usar los valores como atributos del html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14"/>
        </w:numPr>
        <w:pBdr/>
        <w:spacing w:line="240" w:lineRule="auto"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Variable creacion de variables</w:t>
      </w:r>
      <w:r>
        <w:rPr>
          <w:sz w:val="22"/>
          <w:szCs w:val="22"/>
          <w:highlight w:val="none"/>
        </w:rPr>
      </w:r>
    </w:p>
    <w:p>
      <w:pPr>
        <w:pBdr/>
        <w:spacing w:line="240" w:lineRule="auto"/>
        <w:ind/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Evaluación Condicional</w:t>
      </w:r>
      <w:r>
        <w:rPr>
          <w:sz w:val="28"/>
          <w:szCs w:val="28"/>
          <w:highlight w:val="none"/>
        </w:rPr>
      </w:r>
    </w:p>
    <w:p>
      <w:pPr>
        <w:pStyle w:val="621"/>
        <w:numPr>
          <w:ilvl w:val="0"/>
          <w:numId w:val="16"/>
        </w:numPr>
        <w:pBdr/>
        <w:spacing w:line="240" w:lineRule="auto"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If: se usa los mismos operadores relacionales que xpath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16"/>
        </w:numPr>
        <w:pBdr/>
        <w:spacing w:line="240" w:lineRule="auto"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For-each: bucle con expresion x-path</w:t>
      </w:r>
      <w:r>
        <w:rPr>
          <w:sz w:val="22"/>
          <w:szCs w:val="22"/>
          <w:highlight w:val="none"/>
        </w:rPr>
      </w:r>
    </w:p>
    <w:p>
      <w:pPr>
        <w:pStyle w:val="621"/>
        <w:numPr>
          <w:ilvl w:val="0"/>
          <w:numId w:val="16"/>
        </w:numPr>
        <w:pBdr/>
        <w:tabs>
          <w:tab w:val="left" w:leader="none" w:pos="6071"/>
        </w:tabs>
        <w:spacing w:line="240" w:lineRule="auto"/>
        <w:ind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t xml:space="preserve">Choose, when y otherwise en el orden indicado creamos una estructura switch case</w:t>
      </w: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 w:line="240" w:lineRule="auto"/>
        <w:ind w:firstLine="0" w:left="0"/>
        <w:jc w:val="left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</w:p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2024-05-06T18:15:16Z</dcterms:modified>
</cp:coreProperties>
</file>