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Pr>
          <w:rtl w:val="0"/>
        </w:rPr>
        <w:t xml:space="preserve">1.3 AUTOEVALUACIÓN FASE 1: DEFINICIÓN DE PROYECTO APT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Pr>
          <w:rtl w:val="0"/>
        </w:rPr>
        <w:t xml:space="preserve">Asignatura: Capstone (PTY4614) - Escuela de Informática y Telecomunicaciones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shd w:fill="auto" w:val="clear"/>
              </w:rPr>
            </w:pPr>
            <w:r>
              <w:rPr>
                <w:b w:val="1"/>
                <w:bCs w:val="1"/>
                <w:shd w:fill="auto" w:val="clear"/>
                <w:rtl w:val="0"/>
              </w:rPr>
              <w:t xml:space="preserve">Estudiante:</w:t>
            </w:r>
          </w:p>
        </w:tc>
        <w:tc>
          <w:tcPr>
            <w:shd w:fill="auto" w:val="clear"/>
            <w:tcMar>
              <w:top w:w="90.0" w:type="dxa"/>
              <w:left w:w="90.0" w:type="dxa"/>
              <w:bottom w:w="90.0" w:type="dxa"/>
              <w:right w:w="9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Pr>
                <w:rtl w:val="0"/>
              </w:rPr>
              <w:t xml:space="preserve">Francisco Ignacio Salinas Gonzalez (Ingeniero de Datos, Parsers &amp; Ingesta AST)</w:t>
            </w:r>
          </w:p>
        </w:tc>
      </w:tr>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shd w:fill="auto" w:val="clear"/>
              </w:rPr>
            </w:pPr>
            <w:r>
              <w:rPr>
                <w:b w:val="1"/>
                <w:bCs w:val="1"/>
                <w:shd w:fill="auto" w:val="clear"/>
                <w:rtl w:val="0"/>
              </w:rPr>
              <w:t xml:space="preserve">Asignatura:</w:t>
            </w:r>
          </w:p>
        </w:tc>
        <w:tc>
          <w:tcPr>
            <w:shd w:fill="auto" w:val="clear"/>
            <w:tcMar>
              <w:top w:w="90.0" w:type="dxa"/>
              <w:left w:w="90.0" w:type="dxa"/>
              <w:bottom w:w="90.0" w:type="dxa"/>
              <w:right w:w="9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Pr>
                <w:rtl w:val="0"/>
              </w:rPr>
              <w:t xml:space="preserve">Capstone (PTY4614) - Duoc UC Plaza Oeste</w:t>
            </w:r>
          </w:p>
        </w:tc>
      </w:tr>
      <w:tr>
        <w:trPr>
          <w:cantSplit w:val="0"/>
          <w:tblHeader w:val="0"/>
        </w:trPr>
        <w:tc>
          <w:tcPr>
            <w:shd w:fill="f8f9fa"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shd w:fill="auto" w:val="clear"/>
              </w:rPr>
            </w:pPr>
            <w:r>
              <w:rPr>
                <w:b w:val="1"/>
                <w:bCs w:val="1"/>
                <w:shd w:fill="auto" w:val="clear"/>
                <w:rtl w:val="0"/>
              </w:rPr>
              <w:t xml:space="preserve">Proyecto:</w:t>
            </w:r>
          </w:p>
        </w:tc>
        <w:tc>
          <w:tcPr>
            <w:shd w:fill="auto"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Pr>
                <w:rtl w:val="0"/>
              </w:rPr>
              <w:t xml:space="preserve">KalliCode Platform: Fusión Motor CodeMapping y Fábrica de Producción de Software (E1 + E2)</w:t>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br w:type="page"/>
      </w:r>
      <w:r>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Pr>
          <w:rtl w:val="0"/>
        </w:rPr>
        <w:t xml:space="preserve">TABLA DE RÚBRICA Y AUTOEVALUACIÓN CUANTITATIVA (FASE 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Pr>
          <w:rtl w:val="0"/>
        </w:rPr>
        <w:t xml:space="preserve">A continuación se evalúa el cumplimiento de los 12 Indicadores de Evaluación (IE) establecidos en la pauta institucional para la Fase 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0.7999999999997"/>
        <w:gridCol w:w="748.8"/>
        <w:gridCol w:w="1310.3999999999999"/>
        <w:gridCol w:w="748.8"/>
        <w:gridCol w:w="3931.2"/>
        <w:tblGridChange w:id="0">
          <w:tblGrid>
            <w:gridCol w:w="2620.7999999999997"/>
            <w:gridCol w:w="748.8"/>
            <w:gridCol w:w="1310.3999999999999"/>
            <w:gridCol w:w="748.8"/>
            <w:gridCol w:w="3931.2"/>
          </w:tblGrid>
        </w:tblGridChange>
      </w:tblGrid>
      <w:tr>
        <w:trPr>
          <w:cantSplit w:val="0"/>
          <w:tblHeader w:val="1"/>
        </w:trPr>
        <w:tc>
          <w:tcPr>
            <w:shd w:fill="2c3e50" w:val="clear"/>
            <w:tcMar>
              <w:top w:w="75.0" w:type="dxa"/>
              <w:left w:w="75.0" w:type="dxa"/>
              <w:bottom w:w="75.0" w:type="dxa"/>
              <w:right w:w="7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ffffff"/>
                <w:sz w:val="16"/>
                <w:szCs w:val="16"/>
                <w:shd w:fill="auto" w:val="clear"/>
              </w:rPr>
            </w:pPr>
            <w:r>
              <w:rPr>
                <w:color w:val="ffffff"/>
                <w:sz w:val="16"/>
                <w:szCs w:val="16"/>
                <w:shd w:fill="auto" w:val="clear"/>
                <w:rtl w:val="0"/>
              </w:rPr>
              <w:t xml:space="preserve">Indicador de Evaluación (IE)</w:t>
            </w:r>
          </w:p>
        </w:tc>
        <w:tc>
          <w:tcPr>
            <w:shd w:fill="2c3e50" w:val="clear"/>
            <w:tcMar>
              <w:top w:w="75.0" w:type="dxa"/>
              <w:left w:w="75.0" w:type="dxa"/>
              <w:bottom w:w="75.0" w:type="dxa"/>
              <w:right w:w="7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color w:val="ffffff"/>
                <w:sz w:val="16"/>
                <w:szCs w:val="16"/>
                <w:shd w:fill="auto" w:val="clear"/>
              </w:rPr>
            </w:pPr>
            <w:r>
              <w:rPr>
                <w:color w:val="ffffff"/>
                <w:sz w:val="16"/>
                <w:szCs w:val="16"/>
                <w:shd w:fill="auto" w:val="clear"/>
                <w:rtl w:val="0"/>
              </w:rPr>
              <w:t xml:space="preserve">Pond.</w:t>
            </w:r>
          </w:p>
        </w:tc>
        <w:tc>
          <w:tcPr>
            <w:shd w:fill="2c3e50"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color w:val="ffffff"/>
                <w:sz w:val="16"/>
                <w:szCs w:val="16"/>
                <w:shd w:fill="auto" w:val="clear"/>
              </w:rPr>
            </w:pPr>
            <w:r>
              <w:rPr>
                <w:color w:val="ffffff"/>
                <w:sz w:val="16"/>
                <w:szCs w:val="16"/>
                <w:shd w:fill="auto" w:val="clear"/>
                <w:rtl w:val="0"/>
              </w:rPr>
              <w:t xml:space="preserve">Nivel Asignado</w:t>
            </w:r>
          </w:p>
        </w:tc>
        <w:tc>
          <w:tcPr>
            <w:shd w:fill="2c3e50" w:val="clear"/>
            <w:tcMar>
              <w:top w:w="75.0" w:type="dxa"/>
              <w:left w:w="75.0" w:type="dxa"/>
              <w:bottom w:w="75.0" w:type="dxa"/>
              <w:right w:w="7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color w:val="ffffff"/>
                <w:sz w:val="16"/>
                <w:szCs w:val="16"/>
                <w:shd w:fill="auto" w:val="clear"/>
              </w:rPr>
            </w:pPr>
            <w:r>
              <w:rPr>
                <w:color w:val="ffffff"/>
                <w:sz w:val="16"/>
                <w:szCs w:val="16"/>
                <w:shd w:fill="auto" w:val="clear"/>
                <w:rtl w:val="0"/>
              </w:rPr>
              <w:t xml:space="preserve">% Logro</w:t>
            </w:r>
          </w:p>
        </w:tc>
        <w:tc>
          <w:tcPr>
            <w:shd w:fill="2c3e50" w:val="clear"/>
            <w:tcMar>
              <w:top w:w="75.0" w:type="dxa"/>
              <w:left w:w="75.0" w:type="dxa"/>
              <w:bottom w:w="75.0" w:type="dxa"/>
              <w:right w:w="7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ffffff"/>
                <w:sz w:val="16"/>
                <w:szCs w:val="16"/>
                <w:shd w:fill="auto" w:val="clear"/>
              </w:rPr>
            </w:pPr>
            <w:r>
              <w:rPr>
                <w:color w:val="ffffff"/>
                <w:sz w:val="16"/>
                <w:szCs w:val="16"/>
                <w:shd w:fill="auto" w:val="clear"/>
                <w:rtl w:val="0"/>
              </w:rPr>
              <w:t xml:space="preserve">Justificación y Evidencia en la Documentación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Pr>
                <w:sz w:val="16"/>
                <w:szCs w:val="16"/>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1. Descripción y Relevancia:</w:t>
            </w:r>
            <w:r>
              <w:rPr>
                <w:sz w:val="16"/>
                <w:szCs w:val="16"/>
                <w:rtl w:val="0"/>
              </w:rPr>
              <w:t xml:space="preserve"> Describe el proyecto justificando relevancia para el campo laboral.</w:t>
            </w:r>
          </w:p>
        </w:tc>
        <w:tc>
          <w:tcPr>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describió la fusión de CodeMapping (E1) y la Fábrica de Producción (E2), justificando su relevancia para evitar que los cambios generados por IA degraden la arquitectura al no existir un mapa del código existente ni un grafo de conocimiento del repositorio.</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2. Competencias del Perfil:</w:t>
            </w:r>
            <w:r>
              <w:rPr>
                <w:sz w:val="16"/>
                <w:szCs w:val="16"/>
                <w:rtl w:val="0"/>
              </w:rPr>
              <w:t xml:space="preserve"> Relaciona el proyecto con las competencias del perfil de egreso.</w:t>
            </w:r>
          </w:p>
        </w:tc>
        <w:tc>
          <w:tcPr>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articuló explícitamente el uso de competencias de Ingeniería de Datos (parsers tree-sitter, ingesta de AST hacia el grafo de conocimiento), Pruebas (suite de tests del parser con fixtures y golden files) y Software (workspace uv, Python 3.12, tipado estricto Mypy).</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3. Intereses Profesionales:</w:t>
            </w:r>
            <w:r>
              <w:rPr>
                <w:sz w:val="16"/>
                <w:szCs w:val="16"/>
                <w:rtl w:val="0"/>
              </w:rPr>
              <w:t xml:space="preserve"> Relaciona el proyecto con los intereses profesionales del estudiante.</w:t>
            </w:r>
          </w:p>
        </w:tc>
        <w:tc>
          <w:tcPr>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vinculó directamente el rol de Ingeniero de Datos, Parsers &amp; Ingesta AST con la proyección profesional del estudiante hacia el aseguramiento de calidad de software (QA) combinado con ingeniería de datos, en línea con su trabajo actual como Analista QA.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4. Factibilidad:</w:t>
            </w:r>
            <w:r>
              <w:rPr>
                <w:sz w:val="16"/>
                <w:szCs w:val="16"/>
                <w:rtl w:val="0"/>
              </w:rPr>
              <w:t xml:space="preserve"> Argumenta factibilidad considerando tiempo, materiales y factores externos.</w:t>
            </w:r>
          </w:p>
        </w:tc>
        <w:tc>
          <w:tcPr>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argumentó la factibilidad en las 12 semanas de la asignatura, usando herramientas gratuitas o de nivel educacional (uv, tree-sitter, PostgreSQL) y compatibilizando el proyecto con la práctica profesional del estudiante.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5. Formulación de Objetivos:</w:t>
            </w:r>
            <w:r>
              <w:rPr>
                <w:sz w:val="16"/>
                <w:szCs w:val="16"/>
                <w:rtl w:val="0"/>
              </w:rPr>
              <w:t xml:space="preserve"> Formula objetivos generales y específicos claros y concisos.</w:t>
            </w:r>
          </w:p>
        </w:tc>
        <w:tc>
          <w:tcPr>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redactó un Objetivo General y Objetivos Específicos en verbos en infinitivo en la Acta de Constitución, cubriendo la ingesta multilenguaje con tree-sitter, la construcción de fixtures de referencia y la suite de tests base del parser.</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6. Metodología de Trabajo:</w:t>
            </w:r>
            <w:r>
              <w:rPr>
                <w:sz w:val="16"/>
                <w:szCs w:val="16"/>
                <w:rtl w:val="0"/>
              </w:rPr>
              <w:t xml:space="preserve"> Propone metodología disciplinar que permite alcanzar los objetivos.</w:t>
            </w:r>
          </w:p>
        </w:tc>
        <w:tc>
          <w:tcPr>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definió Scrum ágil adaptado a sprints semanales, con seguimiento vía tablero Jira y roles claros para los 4 integrantes del equipo, incluyendo el rol de Ingeniero de Datos a cargo de parsers e ingesta AST.</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7. Plan de Trabajo:</w:t>
            </w:r>
            <w:r>
              <w:rPr>
                <w:sz w:val="16"/>
                <w:szCs w:val="16"/>
                <w:rtl w:val="0"/>
              </w:rPr>
              <w:t xml:space="preserve"> Plan detallado considerando recursos, tiempos, facilitadores y riesgos.</w:t>
            </w:r>
          </w:p>
        </w:tc>
        <w:tc>
          <w:tcPr>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entregó una Estructura de Desglose de Trabajo (EDT) con entregables, paquetes de trabajo y actividades, incluyendo responsables y fechas estimadas por semana para los 8 entregables definidos.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8. Determinación de Evidencias:</w:t>
            </w:r>
            <w:r>
              <w:rPr>
                <w:sz w:val="16"/>
                <w:szCs w:val="16"/>
                <w:rtl w:val="0"/>
              </w:rPr>
              <w:t xml:space="preserve"> Determina y justifica evidencias de avance y finales.</w:t>
            </w:r>
          </w:p>
        </w:tc>
        <w:tc>
          <w:tcPr>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definieron como evidencias las fixtures multilenguaje y golden files del parser (Fase 1), la suite de tests en verde y la configuración multi-tenant sanitizada (Fase 2), y la aplicación funcional con evidencias de base de datos (Fase 3).</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9. Aspectos Formales:</w:t>
            </w:r>
            <w:r>
              <w:rPr>
                <w:sz w:val="16"/>
                <w:szCs w:val="16"/>
                <w:rtl w:val="0"/>
              </w:rPr>
              <w:t xml:space="preserve"> Redacción, ortografía y normas de citación y referencias.</w:t>
            </w:r>
          </w:p>
        </w:tc>
        <w:tc>
          <w:tcPr>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Los documentos técnicos entregados cumplen con la normativa de redacción y ortografía institucional, y referencian correctamente estándares técnicos (IEEE 830, PEP 8, ADR-018).</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10. Formato del Informe:</w:t>
            </w:r>
            <w:r>
              <w:rPr>
                <w:sz w:val="16"/>
                <w:szCs w:val="16"/>
                <w:rtl w:val="0"/>
              </w:rPr>
              <w:t xml:space="preserve"> Cumple formato técnico exigido por la institución.</w:t>
            </w:r>
          </w:p>
        </w:tc>
        <w:tc>
          <w:tcPr>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5%</w:t>
            </w:r>
          </w:p>
        </w:tc>
        <w:tc>
          <w:tcPr>
            <w:shd w:fill="d4efdf" w:val="clear"/>
            <w:tcMar>
              <w:top w:w="75.0" w:type="dxa"/>
              <w:left w:w="75.0" w:type="dxa"/>
              <w:bottom w:w="75.0" w:type="dxa"/>
              <w:right w:w="7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estructuró según las pautas oficiales de Duoc UC, con control de versiones, portada formal, tabla de especificaciones y declaración de síntesis y plan de mejora.</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11. Indicadores de Calidad:</w:t>
            </w:r>
            <w:r>
              <w:rPr>
                <w:sz w:val="16"/>
                <w:szCs w:val="16"/>
                <w:rtl w:val="0"/>
              </w:rPr>
              <w:t xml:space="preserve"> Cumple el 100% de los estándares definidos por la disciplina.</w:t>
            </w:r>
          </w:p>
        </w:tc>
        <w:tc>
          <w:tcPr>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20%</w:t>
            </w:r>
          </w:p>
        </w:tc>
        <w:tc>
          <w:tcPr>
            <w:shd w:fill="d4efdf"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evidenció la entrega técnica de Semana 1: parser tree-sitter ampliado para detectar funciones anónimas, corrección de colisiones de IDs y del cálculo de signature, fixtures multilenguaje construidas, suite de tests en verde (14/14) y configuración multi-tenant sanitizada (CM-F02), sin observaciones de Mypy ni Ruff.</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z w:val="16"/>
                <w:szCs w:val="16"/>
              </w:rPr>
            </w:pPr>
            <w:r>
              <w:rPr>
                <w:b w:val="1"/>
                <w:bCs w:val="1"/>
                <w:sz w:val="16"/>
                <w:szCs w:val="16"/>
                <w:rtl w:val="0"/>
              </w:rPr>
              <w:t xml:space="preserve">12. Redacción Técnica en Inglés:</w:t>
            </w:r>
            <w:r>
              <w:rPr>
                <w:sz w:val="16"/>
                <w:szCs w:val="16"/>
                <w:rtl w:val="0"/>
              </w:rPr>
              <w:t xml:space="preserve"> Abstract, conclusiones y reflexión en inglés de nivel intermedio alto.</w:t>
            </w:r>
          </w:p>
        </w:tc>
        <w:tc>
          <w:tcPr>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w:t>
            </w:r>
          </w:p>
        </w:tc>
        <w:tc>
          <w:tcPr>
            <w:shd w:fill="d4efdf"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sz w:val="16"/>
                <w:szCs w:val="16"/>
                <w:shd w:fill="auto" w:val="clear"/>
              </w:rPr>
            </w:pPr>
            <w:r>
              <w:rPr>
                <w:sz w:val="16"/>
                <w:szCs w:val="16"/>
                <w:shd w:fill="auto" w:val="clear"/>
                <w:rtl w:val="0"/>
              </w:rPr>
              <w:t xml:space="preserve">Completamente Logrado</w:t>
            </w:r>
          </w:p>
        </w:tc>
        <w:tc>
          <w:tcPr>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sz w:val="16"/>
                <w:szCs w:val="16"/>
              </w:rPr>
            </w:pPr>
            <w:r>
              <w:rPr>
                <w:sz w:val="16"/>
                <w:szCs w:val="16"/>
                <w:rtl w:val="0"/>
              </w:rPr>
              <w:t xml:space="preserve">100%</w:t>
            </w:r>
          </w:p>
        </w:tc>
        <w:tc>
          <w:tcPr>
            <w:shd w:fill="auto"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z w:val="16"/>
                <w:szCs w:val="16"/>
              </w:rPr>
            </w:pPr>
            <w:r>
              <w:rPr>
                <w:sz w:val="16"/>
                <w:szCs w:val="16"/>
                <w:rtl w:val="0"/>
              </w:rPr>
              <w:t xml:space="preserve">Se redactaron el abstract bilingüe del proyecto y la conclusión y reflexión técnica individual del estudiante en inglés, con terminología adecuada a su rol de Ingeniero de Datos, Parsers &amp; Ingesta AST.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Pr>
                <w:sz w:val="16"/>
                <w:szCs w:val="16"/>
                <w:rtl w:val="0"/>
              </w:rPr>
              <w:t xml:space="preserve"> </w:t>
            </w:r>
          </w:p>
        </w:tc>
      </w:tr>
      <w:tr>
        <w:trPr>
          <w:cantSplit w:val="0"/>
          <w:tblHeader w:val="0"/>
        </w:trPr>
        <w:tc>
          <w:tcPr>
            <w:gridSpan w:val="3"/>
            <w:shd w:fill="f2f4f8" w:val="clear"/>
            <w:tcMar>
              <w:top w:w="75.0" w:type="dxa"/>
              <w:left w:w="75.0" w:type="dxa"/>
              <w:bottom w:w="75.0" w:type="dxa"/>
              <w:right w:w="7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right"/>
              <w:rPr>
                <w:b w:val="1"/>
                <w:bCs w:val="1"/>
                <w:sz w:val="16"/>
                <w:szCs w:val="16"/>
                <w:shd w:fill="auto" w:val="clear"/>
              </w:rPr>
            </w:pPr>
            <w:r>
              <w:rPr>
                <w:b w:val="1"/>
                <w:bCs w:val="1"/>
                <w:sz w:val="16"/>
                <w:szCs w:val="16"/>
                <w:shd w:fill="auto" w:val="clear"/>
                <w:rtl w:val="0"/>
              </w:rPr>
              <w:t xml:space="preserve">PUNTAJE Y LOGRO GLOBAL DE AUTOEVALUACIÓN:</w:t>
            </w:r>
          </w:p>
        </w:tc>
        <w:tc>
          <w:tcPr>
            <w:shd w:fill="f2f4f8"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b w:val="1"/>
                <w:bCs w:val="1"/>
                <w:color w:val="1e8449"/>
                <w:sz w:val="16"/>
                <w:szCs w:val="16"/>
                <w:shd w:fill="auto" w:val="clear"/>
              </w:rPr>
            </w:pPr>
            <w:r>
              <w:rPr>
                <w:b w:val="1"/>
                <w:bCs w:val="1"/>
                <w:color w:val="1e8449"/>
                <w:sz w:val="16"/>
                <w:szCs w:val="16"/>
                <w:shd w:fill="auto" w:val="clear"/>
                <w:rtl w:val="0"/>
              </w:rPr>
              <w:t xml:space="preserve">100%</w:t>
            </w:r>
          </w:p>
        </w:tc>
        <w:tc>
          <w:tcPr>
            <w:shd w:fill="f2f4f8"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sz w:val="16"/>
                <w:szCs w:val="16"/>
                <w:shd w:fill="auto" w:val="clear"/>
              </w:rPr>
            </w:pPr>
            <w:r>
              <w:rPr>
                <w:b w:val="1"/>
                <w:bCs w:val="1"/>
                <w:sz w:val="16"/>
                <w:szCs w:val="16"/>
                <w:shd w:fill="auto" w:val="clear"/>
                <w:rtl w:val="0"/>
              </w:rPr>
              <w:t xml:space="preserve">Nivel Óptimo Competente (Completamente Logrado en la totalidad de indicadores)</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b w:val="1"/>
          <w:bCs w:val="1"/>
          <w:sz w:val="16"/>
          <w:szCs w:val="16"/>
          <w:shd w:fill="auto" w:val="clear"/>
        </w:rPr>
      </w:pPr>
      <w:r>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Pr>
          <w:rtl w:val="0"/>
        </w:rPr>
        <w:t xml:space="preserve">DECLARACIÓN DE SÍNTESIS Y PLAN DE MEJORA CONTINUA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Pr>
          <w:b w:val="1"/>
          <w:bCs w:val="1"/>
          <w:rtl w:val="0"/>
        </w:rPr>
        <w:t xml:space="preserve">Fortalezas consolidadas en la entrega:</w:t>
      </w:r>
      <w:r>
        <w:rPr>
          <w:rtl w:val="0"/>
        </w:rPr>
        <w:t xml:space="preserve"> La fundamentación técnica se sustenta en trabajo verificable en código: el parser tree-sitter multilenguaje, las fixtures y golden files de referencia, y el saneamiento de la configuración multi-tenant (CM-F02), todo validado con una suite de tests en verde y sin observaciones de </w:t>
      </w:r>
      <w:r>
        <w:rPr>
          <w:i w:val="1"/>
          <w:iCs w:val="1"/>
          <w:rtl w:val="0"/>
        </w:rPr>
        <w:t xml:space="preserve">Mypy</w:t>
      </w:r>
      <w:r>
        <w:rPr>
          <w:rtl w:val="0"/>
        </w:rPr>
        <w:t xml:space="preserve"> ni Ruff. Esto asegura una base sólida de ingesta de conocimiento para el resto del pipeline de KalliCode.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Pr>
          <w:b w:val="1"/>
          <w:bCs w:val="1"/>
          <w:rtl w:val="0"/>
        </w:rPr>
        <w:t xml:space="preserve">Aspectos por monitorear y perfeccionar:</w:t>
      </w:r>
      <w:r>
        <w:rPr>
          <w:rtl w:val="0"/>
        </w:rPr>
        <w:t xml:space="preserve"> Para el avance hacia la Fase 2, el estudiante dará seguimiento al reparto de tareas del componente CM2, dado el desbalance de story points detectado en el Sprint 1, y seguirá ampliando la cobertura de tests del parser a medida que se sumen nuevos lenguajes y casos borde, reforzando la comunicación con el monorepo y asegurando que las suites de integración continua sigan ejecutándose con cero advertencias.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