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AUTOEVALUACIÓN FASE 1: DEFINICIÓN DE PROYECTO APT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Asignatura: Capstone (PTY4614) - Escuela de Informática y Telecomunicaciones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Estudiante:</w:t>
            </w:r>
          </w:p>
        </w:tc>
        <w:tc>
          <w:tcPr>
            <w:shd w:fill="auto" w:val="clear"/>
            <w:tcMar>
              <w:top w:w="90.0" w:type="dxa"/>
              <w:left w:w="90.0" w:type="dxa"/>
              <w:bottom w:w="90.0" w:type="dxa"/>
              <w:right w:w="9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Iván Sebastián Henríquez González ( Tech Lead)</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Asignatura:</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Capstone (PTY4614) - Duoc UC Plaza Oeste</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KalliCode Platform: Fusión Motor CodeMapping y Fábrica de Producción de Software (E1 + E2)</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DE RÚBRICA Y AUTOEVALUACIÓN CUANTITATIVA (FASE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evalúa el cumplimiento de los 12 Indicadores de Evaluación (IE) establecidos en la pauta institucional para la Fase 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0.7999999999997"/>
        <w:gridCol w:w="748.8"/>
        <w:gridCol w:w="1310.3999999999999"/>
        <w:gridCol w:w="748.8"/>
        <w:gridCol w:w="3931.2"/>
        <w:tblGridChange w:id="0">
          <w:tblGrid>
            <w:gridCol w:w="2620.7999999999997"/>
            <w:gridCol w:w="748.8"/>
            <w:gridCol w:w="1310.3999999999999"/>
            <w:gridCol w:w="748.8"/>
            <w:gridCol w:w="3931.2"/>
          </w:tblGrid>
        </w:tblGridChange>
      </w:tblGrid>
      <w:tr>
        <w:trPr>
          <w:cantSplit w:val="0"/>
          <w:tblHeader w:val="1"/>
        </w:trPr>
        <w:tc>
          <w:tcPr>
            <w:shd w:fill="2c3e50"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ffffff"/>
                <w:sz w:val="16"/>
                <w:szCs w:val="16"/>
                <w:shd w:fill="auto" w:val="clear"/>
              </w:rPr>
            </w:pPr>
            <w:r w:rsidDel="00000000" w:rsidR="00000000" w:rsidRPr="00000000">
              <w:rPr>
                <w:color w:val="ffffff"/>
                <w:sz w:val="16"/>
                <w:szCs w:val="16"/>
                <w:shd w:fill="auto" w:val="clear"/>
                <w:rtl w:val="0"/>
              </w:rPr>
              <w:t xml:space="preserve">Indicador de Evaluación (IE)</w:t>
            </w:r>
          </w:p>
        </w:tc>
        <w:tc>
          <w:tcPr>
            <w:shd w:fill="2c3e50"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sidDel="00000000" w:rsidR="00000000" w:rsidRPr="00000000">
              <w:rPr>
                <w:color w:val="ffffff"/>
                <w:sz w:val="16"/>
                <w:szCs w:val="16"/>
                <w:shd w:fill="auto" w:val="clear"/>
                <w:rtl w:val="0"/>
              </w:rPr>
              <w:t xml:space="preserve">Pond.</w:t>
            </w:r>
          </w:p>
        </w:tc>
        <w:tc>
          <w:tcPr>
            <w:shd w:fill="2c3e50"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sidDel="00000000" w:rsidR="00000000" w:rsidRPr="00000000">
              <w:rPr>
                <w:color w:val="ffffff"/>
                <w:sz w:val="16"/>
                <w:szCs w:val="16"/>
                <w:shd w:fill="auto" w:val="clear"/>
                <w:rtl w:val="0"/>
              </w:rPr>
              <w:t xml:space="preserve">Nivel Asignado</w:t>
            </w:r>
          </w:p>
        </w:tc>
        <w:tc>
          <w:tcPr>
            <w:shd w:fill="2c3e50"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sidDel="00000000" w:rsidR="00000000" w:rsidRPr="00000000">
              <w:rPr>
                <w:color w:val="ffffff"/>
                <w:sz w:val="16"/>
                <w:szCs w:val="16"/>
                <w:shd w:fill="auto" w:val="clear"/>
                <w:rtl w:val="0"/>
              </w:rPr>
              <w:t xml:space="preserve">% Logro</w:t>
            </w:r>
          </w:p>
        </w:tc>
        <w:tc>
          <w:tcPr>
            <w:shd w:fill="2c3e50"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ffffff"/>
                <w:sz w:val="16"/>
                <w:szCs w:val="16"/>
                <w:shd w:fill="auto" w:val="clear"/>
              </w:rPr>
            </w:pPr>
            <w:r w:rsidDel="00000000" w:rsidR="00000000" w:rsidRPr="00000000">
              <w:rPr>
                <w:color w:val="ffffff"/>
                <w:sz w:val="16"/>
                <w:szCs w:val="16"/>
                <w:shd w:fill="auto" w:val="clear"/>
                <w:rtl w:val="0"/>
              </w:rPr>
              <w:t xml:space="preserve">Justificación y Evidencia en la Documentación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1. Descripción y Relevancia:</w:t>
            </w:r>
            <w:r w:rsidDel="00000000" w:rsidR="00000000" w:rsidRPr="00000000">
              <w:rPr>
                <w:sz w:val="16"/>
                <w:szCs w:val="16"/>
                <w:rtl w:val="0"/>
              </w:rPr>
              <w:t xml:space="preserve"> Describe el proyecto justificando relevancia para el campo laboral.</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describió en detalle la fusión de KalliCode E1 + E2, justificando su impacto al mitigar la proliferación de regresiones de software provocadas por IAs generativas sin contexto.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2. Competencias del Perfil:</w:t>
            </w:r>
            <w:r w:rsidDel="00000000" w:rsidR="00000000" w:rsidRPr="00000000">
              <w:rPr>
                <w:sz w:val="16"/>
                <w:szCs w:val="16"/>
                <w:rtl w:val="0"/>
              </w:rPr>
              <w:t xml:space="preserve"> Relaciona el proyecto con las competencias del perfil de egreso.</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articuló explícitamente el uso de las 4 competencias: Pruebas (RLS/Hypothesis), Gestión (12 sprints ágiles), Datos (PostgreSQL 16/pgvector) y Software (uv monorepo/Python 3.12).</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3. Intereses Profesionales:</w:t>
            </w:r>
            <w:r w:rsidDel="00000000" w:rsidR="00000000" w:rsidRPr="00000000">
              <w:rPr>
                <w:sz w:val="16"/>
                <w:szCs w:val="16"/>
                <w:rtl w:val="0"/>
              </w:rPr>
              <w:t xml:space="preserve"> Relaciona el proyecto con los intereses profesionales del estudiante.</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vinculó directamente el rol de Tech Lead y Motor Semántico con la proyección en Machine Learning Engineering, bases de datos avanzadas y sistemas distribuidos tolerantes a fallos.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4. Factibilidad:</w:t>
            </w:r>
            <w:r w:rsidDel="00000000" w:rsidR="00000000" w:rsidRPr="00000000">
              <w:rPr>
                <w:sz w:val="16"/>
                <w:szCs w:val="16"/>
                <w:rtl w:val="0"/>
              </w:rPr>
              <w:t xml:space="preserve"> Argumenta factibilidad considerando tiempo, materiales y factores externos.</w:t>
            </w:r>
          </w:p>
        </w:tc>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estructuró la factibilidad en 18 semanas académicas (12 sprints técnicos activos), con Azure Cloud, control presupuestario de tokens en BD y contratos OpenAPI congelados.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5. Formulación de Objetivos:</w:t>
            </w:r>
            <w:r w:rsidDel="00000000" w:rsidR="00000000" w:rsidRPr="00000000">
              <w:rPr>
                <w:sz w:val="16"/>
                <w:szCs w:val="16"/>
                <w:rtl w:val="0"/>
              </w:rPr>
              <w:t xml:space="preserve"> Formula objetivos generales y específicos claros y concisos.</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redactó un Objetivo General sistémico y 4 Objetivos Específicos (OE1 a OE4) en verbos en infinitivo que cubren monorepo/RLS, parsing AST, orquestador Redis Streams y pruebas de certificación.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6. Metodología de Trabajo:</w:t>
            </w:r>
            <w:r w:rsidDel="00000000" w:rsidR="00000000" w:rsidRPr="00000000">
              <w:rPr>
                <w:sz w:val="16"/>
                <w:szCs w:val="16"/>
                <w:rtl w:val="0"/>
              </w:rPr>
              <w:t xml:space="preserve"> Propone metodología disciplinar que permite alcanzar los objetivos.</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definió Scrum ágil adaptado a sprints semanales junto a Contract-Driven Development, estableciendo roles nominales claros para los 4 integrantes del equipo.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7. Plan de Trabajo:</w:t>
            </w:r>
            <w:r w:rsidDel="00000000" w:rsidR="00000000" w:rsidRPr="00000000">
              <w:rPr>
                <w:sz w:val="16"/>
                <w:szCs w:val="16"/>
                <w:rtl w:val="0"/>
              </w:rPr>
              <w:t xml:space="preserve"> Plan detallado considerando recursos, tiempos, facilitadores y riesgos.</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entregó una tabla exhaustiva tarea por tarea para los 12 sprints con códigos Jira (KC-ONB / KC-FAB), recursos, horas calculadas, asignación individual y riesgos con mitigación.</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8. Determinación de Evidencias:</w:t>
            </w:r>
            <w:r w:rsidDel="00000000" w:rsidR="00000000" w:rsidRPr="00000000">
              <w:rPr>
                <w:sz w:val="16"/>
                <w:szCs w:val="16"/>
                <w:rtl w:val="0"/>
              </w:rPr>
              <w:t xml:space="preserve"> Determina y justifica evidencias de avance y finales.</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definieron las evidencias de Fase 1 (Monorepo base/M1), Fase 2 (Pipeline integrado/M3 con parada en Gate 1) y Fase 3 (Plataforma KalliCode en producción/GA con benchmark de 200k nodos).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9. Aspectos Formales:</w:t>
            </w:r>
            <w:r w:rsidDel="00000000" w:rsidR="00000000" w:rsidRPr="00000000">
              <w:rPr>
                <w:sz w:val="16"/>
                <w:szCs w:val="16"/>
                <w:rtl w:val="0"/>
              </w:rPr>
              <w:t xml:space="preserve"> Redacción, ortografía y normas de citación y referencias.</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Los documentos técnicos cumplen estrictamente con la normativa gramatical, ortografía técnica rigurosa y correcta referenciación de estándares de ingeniería (IEEE, PEP 561, ADR).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10. Formato del Informe:</w:t>
            </w:r>
            <w:r w:rsidDel="00000000" w:rsidR="00000000" w:rsidRPr="00000000">
              <w:rPr>
                <w:sz w:val="16"/>
                <w:szCs w:val="16"/>
                <w:rtl w:val="0"/>
              </w:rPr>
              <w:t xml:space="preserve"> Cumple formato técnico exigido por la institución.</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estructuró según las pautas oficiales con portada formal, índice general, abstract bilingüe, desarrollo disciplinar, conclusiones individuales y reflexión técnica.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11. Indicadores de Calidad:</w:t>
            </w:r>
            <w:r w:rsidDel="00000000" w:rsidR="00000000" w:rsidRPr="00000000">
              <w:rPr>
                <w:sz w:val="16"/>
                <w:szCs w:val="16"/>
                <w:rtl w:val="0"/>
              </w:rPr>
              <w:t xml:space="preserve"> Cumple el 100% de los estándares definidos por la disciplina.</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20%</w:t>
            </w:r>
          </w:p>
        </w:tc>
        <w:tc>
          <w:tcPr>
            <w:shd w:fill="d4efdf"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evidenció la entrega técnica de Semana 1: empaquetado del workspace uv, resolución completa de linters Ruff, tipado Mypy estricto sin errores, auditoría de 21 plantillas LLM y retiro de credenciales en claro.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b w:val="1"/>
                <w:bCs w:val="1"/>
                <w:sz w:val="16"/>
                <w:szCs w:val="16"/>
                <w:rtl w:val="0"/>
              </w:rPr>
              <w:t xml:space="preserve">12. Redacción Técnica en Inglés:</w:t>
            </w:r>
            <w:r w:rsidDel="00000000" w:rsidR="00000000" w:rsidRPr="00000000">
              <w:rPr>
                <w:sz w:val="16"/>
                <w:szCs w:val="16"/>
                <w:rtl w:val="0"/>
              </w:rPr>
              <w:t xml:space="preserve"> Abstract, conclusiones y reflexión en inglés de nivel intermedio alto.</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sz w:val="16"/>
                <w:szCs w:val="16"/>
                <w:shd w:fill="auto" w:val="clear"/>
              </w:rPr>
            </w:pPr>
            <w:r w:rsidDel="00000000" w:rsidR="00000000" w:rsidRPr="00000000">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sz w:val="16"/>
                <w:szCs w:val="16"/>
              </w:rPr>
            </w:pPr>
            <w:r w:rsidDel="00000000" w:rsidR="00000000" w:rsidRPr="00000000">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Se redactaron el abstract bilingüe, las conclusiones técnicas individuales de los 4 integrantes y la reflexión global en inglés técnico formal con terminología adecuada y fluidez.</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 </w:t>
            </w:r>
          </w:p>
        </w:tc>
      </w:tr>
      <w:tr>
        <w:trPr>
          <w:cantSplit w:val="0"/>
          <w:tblHeader w:val="0"/>
        </w:trPr>
        <w:tc>
          <w:tcPr>
            <w:gridSpan w:val="3"/>
            <w:shd w:fill="f2f4f8"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right"/>
              <w:rPr>
                <w:b w:val="1"/>
                <w:bCs w:val="1"/>
                <w:sz w:val="16"/>
                <w:szCs w:val="16"/>
                <w:shd w:fill="auto" w:val="clear"/>
              </w:rPr>
            </w:pPr>
            <w:r w:rsidDel="00000000" w:rsidR="00000000" w:rsidRPr="00000000">
              <w:rPr>
                <w:b w:val="1"/>
                <w:bCs w:val="1"/>
                <w:sz w:val="16"/>
                <w:szCs w:val="16"/>
                <w:shd w:fill="auto" w:val="clear"/>
                <w:rtl w:val="0"/>
              </w:rPr>
              <w:t xml:space="preserve">PUNTAJE Y LOGRO GLOBAL DE AUTOEVALUACIÓN:</w:t>
            </w:r>
          </w:p>
        </w:tc>
        <w:tc>
          <w:tcPr>
            <w:shd w:fill="f2f4f8"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b w:val="1"/>
                <w:bCs w:val="1"/>
                <w:color w:val="1e8449"/>
                <w:sz w:val="16"/>
                <w:szCs w:val="16"/>
                <w:shd w:fill="auto" w:val="clear"/>
              </w:rPr>
            </w:pPr>
            <w:r w:rsidDel="00000000" w:rsidR="00000000" w:rsidRPr="00000000">
              <w:rPr>
                <w:b w:val="1"/>
                <w:bCs w:val="1"/>
                <w:color w:val="1e8449"/>
                <w:sz w:val="16"/>
                <w:szCs w:val="16"/>
                <w:shd w:fill="auto" w:val="clear"/>
                <w:rtl w:val="0"/>
              </w:rPr>
              <w:t xml:space="preserve">100%</w:t>
            </w:r>
          </w:p>
        </w:tc>
        <w:tc>
          <w:tcPr>
            <w:shd w:fill="f2f4f8"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sz w:val="16"/>
                <w:szCs w:val="16"/>
                <w:shd w:fill="auto" w:val="clear"/>
              </w:rPr>
            </w:pPr>
            <w:r w:rsidDel="00000000" w:rsidR="00000000" w:rsidRPr="00000000">
              <w:rPr>
                <w:b w:val="1"/>
                <w:bCs w:val="1"/>
                <w:sz w:val="16"/>
                <w:szCs w:val="16"/>
                <w:shd w:fill="auto" w:val="clear"/>
                <w:rtl w:val="0"/>
              </w:rPr>
              <w:t xml:space="preserve">Nivel Óptimo Competente (Completamente Logrado en la totalidad de indicadores)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b w:val="1"/>
          <w:bCs w:val="1"/>
          <w:sz w:val="16"/>
          <w:szCs w:val="16"/>
          <w:shd w:fill="auto" w:val="clear"/>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DECLARACIÓN DE SÍNTESIS Y PLAN DE MEJORA CONTINUA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Fortalezas consolidadas en la entrega:</w:t>
      </w:r>
      <w:r w:rsidDel="00000000" w:rsidR="00000000" w:rsidRPr="00000000">
        <w:rPr>
          <w:rtl w:val="0"/>
        </w:rPr>
        <w:t xml:space="preserve"> La fundamentación técnica y la planificación del proyecto se sustentan en decisiones de arquitectura verificables en código (ADR-018, monorepo </w:t>
      </w:r>
      <w:r w:rsidDel="00000000" w:rsidR="00000000" w:rsidRPr="00000000">
        <w:rPr>
          <w:i w:val="1"/>
          <w:iCs w:val="1"/>
          <w:rtl w:val="0"/>
        </w:rPr>
        <w:t xml:space="preserve">uv</w:t>
      </w:r>
      <w:r w:rsidDel="00000000" w:rsidR="00000000" w:rsidRPr="00000000">
        <w:rPr>
          <w:rtl w:val="0"/>
        </w:rPr>
        <w:t xml:space="preserve"> funcional, pruebas de tipado estricto con Mypy y especificación formal de la máquina de 16 estados). La sinergia entre el motor de base de datos relacional-vectorial y las llamadas estructuradas a LLMs asegura una solución de titulación de alto impacto industrial.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Aspectos por monitorear y perfeccionar:</w:t>
      </w:r>
      <w:r w:rsidDel="00000000" w:rsidR="00000000" w:rsidRPr="00000000">
        <w:rPr>
          <w:rtl w:val="0"/>
        </w:rPr>
        <w:t xml:space="preserve"> Para el avance hacia la Fase 2, el equipo mantendrá un seguimiento riguroso del cumplimiento semanal de la Carta Gantt para asegurar la entrega del Hito M3 (S6) sin desvíos en el presupuesto de tokens, reforzando la comunicación en el monorepo y asegurando que las suites de integración continua sigan ejecutándose con cero advertencias.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