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e2761"/>
          <w:sz w:val="32"/>
          <w:szCs w:val="32"/>
          <w:rtl w:val="0"/>
        </w:rPr>
        <w:t xml:space="preserve">Diagramas de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KalliCode Platform — Fusión CodeMapping y Fábrica de Producción de Software (E1+E2)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40" w:before="300" w:lineRule="auto"/>
        <w:rPr/>
      </w:pPr>
      <w:r w:rsidDel="00000000" w:rsidR="00000000" w:rsidRPr="00000000">
        <w:rPr>
          <w:color w:val="1e2761"/>
          <w:rtl w:val="0"/>
        </w:rPr>
        <w:t xml:space="preserve">1. Ingesta y construcción del grafo de conocimiento (CodeMapping)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Describe el flujo desde que un cliente ingresa un repositorio hasta que su grafo de conocimiento queda almacenado en PostgreSQL + pgvector, incluyendo la validación obligatoria de la configuración multi-tenant.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6143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40" w:before="300" w:lineRule="auto"/>
        <w:rPr>
          <w:color w:val="1e276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40" w:before="300" w:lineRule="auto"/>
        <w:rPr/>
      </w:pPr>
      <w:r w:rsidDel="00000000" w:rsidR="00000000" w:rsidRPr="00000000">
        <w:rPr>
          <w:color w:val="1e2761"/>
          <w:rtl w:val="0"/>
        </w:rPr>
        <w:t xml:space="preserve">2. Flujo de un ticket en el pipeline de producción (Fábrica)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Describe cómo un ticket avanza por los 16 estados del pipeline, deteniéndose en los gates obligatorios (Gate 1 y Preflight) hasta recibir aprobación humana explícita antes de continuar.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95750" cy="5391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tTjVnvUdD4UEciRjJAtCDg+IzQ==">CgMxLjA4AHIhMWVSTG1nSXpmdGM1VjJjYXc4MFJ1QVp5cjNGTk9pc0tn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2026-09-10T19:17:57.585Z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