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e2761"/>
          <w:sz w:val="64"/>
          <w:szCs w:val="64"/>
          <w:rtl w:val="0"/>
        </w:rPr>
        <w:t xml:space="preserve">KALLICODE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20" w:before="8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b08d57"/>
          <w:sz w:val="24"/>
          <w:szCs w:val="24"/>
          <w:rtl w:val="0"/>
        </w:rPr>
        <w:t xml:space="preserve">PORTAFOLIO DE TÍTULO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Rule="auto"/>
        <w:jc w:val="center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21a47"/>
          <w:sz w:val="44"/>
          <w:szCs w:val="44"/>
          <w:rtl w:val="0"/>
        </w:rPr>
        <w:t xml:space="preserve">Estado de Avance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9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2b2b2b"/>
          <w:sz w:val="24"/>
          <w:szCs w:val="24"/>
          <w:rtl w:val="0"/>
        </w:rPr>
        <w:t xml:space="preserve">Actualización consolidada — línea base Sprint 1 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inicio de sprint 7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b2b2b"/>
          <w:sz w:val="24"/>
          <w:szCs w:val="24"/>
          <w:rtl w:val="0"/>
        </w:rPr>
        <w:t xml:space="preserve"> (Semana 1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b2b2b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1"/>
        <w:tblW w:w="7200.0" w:type="dxa"/>
        <w:jc w:val="center"/>
        <w:tblBorders>
          <w:top w:color="c9ccdb" w:space="0" w:sz="4" w:val="single"/>
          <w:left w:color="c9ccdb" w:space="0" w:sz="4" w:val="single"/>
          <w:bottom w:color="c9ccdb" w:space="0" w:sz="4" w:val="single"/>
          <w:right w:color="c9ccdb" w:space="0" w:sz="4" w:val="single"/>
          <w:insideH w:color="c9ccdb" w:space="0" w:sz="4" w:val="single"/>
          <w:insideV w:color="c9ccdb" w:space="0" w:sz="4" w:val="single"/>
        </w:tblBorders>
        <w:tblLayout w:type="fixed"/>
        <w:tblLook w:val="0000"/>
      </w:tblPr>
      <w:tblGrid>
        <w:gridCol w:w="2400"/>
        <w:gridCol w:w="4800"/>
        <w:tblGridChange w:id="0">
          <w:tblGrid>
            <w:gridCol w:w="2400"/>
            <w:gridCol w:w="4800"/>
          </w:tblGrid>
        </w:tblGridChange>
      </w:tblGrid>
      <w:tr>
        <w:trPr>
          <w:cantSplit w:val="0"/>
          <w:tblHeader w:val="0"/>
        </w:trPr>
        <w:tc>
          <w:tcPr>
            <w:shd w:fill="1e276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f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KalliCode Platform: Fusión CodeMapping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y Database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e276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Código / siglas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f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APT122-KC · KC-E1E2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e276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f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Informe de Estado de Avance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e276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Periodo cubierto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f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Semana 1 (01-0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-2026) a Semana 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16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-10-2026)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e276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Corte de este informe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f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Cierre Sprint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 — Semana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e276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f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2.0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e276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f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09-10-2026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e276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Elaborado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f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Francisco Salinas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/>
        <w:sectPr>
          <w:pgSz w:h="15840" w:w="12240" w:orient="portrait"/>
          <w:pgMar w:bottom="1000" w:top="1000" w:left="1100" w:right="1100" w:header="708" w:footer="708"/>
          <w:pgNumType w:start="1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pBdr>
          <w:bottom w:color="1e2761" w:space="4" w:sz="12" w:val="single"/>
        </w:pBdr>
        <w:spacing w:after="160" w:before="36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e2761"/>
          <w:sz w:val="30"/>
          <w:szCs w:val="30"/>
          <w:rtl w:val="0"/>
        </w:rPr>
        <w:t xml:space="preserve">1. 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color w:val="2b2b2b"/>
          <w:sz w:val="22"/>
          <w:szCs w:val="22"/>
          <w:rtl w:val="0"/>
        </w:rPr>
        <w:t xml:space="preserve">Este informe actualiza el Estado de Avance registrado al cierre del Sprint 1 (Fase 1, Semana 1) con la situación real del proyecto al </w:t>
      </w:r>
      <w:r w:rsidDel="00000000" w:rsidR="00000000" w:rsidRPr="00000000">
        <w:rPr>
          <w:rtl w:val="0"/>
        </w:rPr>
        <w:t xml:space="preserve">iniciando el sprint 7</w:t>
      </w:r>
      <w:r w:rsidDel="00000000" w:rsidR="00000000" w:rsidRPr="00000000">
        <w:rPr>
          <w:rFonts w:ascii="Calibri" w:cs="Calibri" w:eastAsia="Calibri" w:hAnsi="Calibri"/>
          <w:color w:val="2b2b2b"/>
          <w:sz w:val="22"/>
          <w:szCs w:val="22"/>
          <w:rtl w:val="0"/>
        </w:rPr>
        <w:t xml:space="preserve"> (Semana </w:t>
      </w:r>
      <w:r w:rsidDel="00000000" w:rsidR="00000000" w:rsidRPr="00000000">
        <w:rPr>
          <w:rtl w:val="0"/>
        </w:rPr>
        <w:t xml:space="preserve">11</w:t>
      </w:r>
      <w:r w:rsidDel="00000000" w:rsidR="00000000" w:rsidRPr="00000000">
        <w:rPr>
          <w:rFonts w:ascii="Calibri" w:cs="Calibri" w:eastAsia="Calibri" w:hAnsi="Calibri"/>
          <w:color w:val="2b2b2b"/>
          <w:sz w:val="22"/>
          <w:szCs w:val="22"/>
          <w:rtl w:val="0"/>
        </w:rPr>
        <w:t xml:space="preserve">). Consolida la línea base original, el snapshot actual por módulo, el seguimiento de los riesgos preliminares identificados en el Acta de Constitución, y señala explícitamente el periodo sin actas registradas entre ambos cortes, para que quede como un vacío de documentación reconocido y no como una omisión silenciosa.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pBdr>
          <w:bottom w:color="1e2761" w:space="4" w:sz="12" w:val="single"/>
        </w:pBdr>
        <w:spacing w:after="160" w:before="36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e2761"/>
          <w:sz w:val="30"/>
          <w:szCs w:val="30"/>
          <w:rtl w:val="0"/>
        </w:rPr>
        <w:t xml:space="preserve">2. Resumen ejecutivo</w:t>
      </w:r>
      <w:r w:rsidDel="00000000" w:rsidR="00000000" w:rsidRPr="00000000">
        <w:rPr>
          <w:rtl w:val="0"/>
        </w:rPr>
      </w:r>
    </w:p>
    <w:tbl>
      <w:tblPr>
        <w:tblStyle w:val="Table2"/>
        <w:tblW w:w="8800.0" w:type="dxa"/>
        <w:jc w:val="left"/>
        <w:tblBorders>
          <w:top w:color="c9ccdb" w:space="0" w:sz="4" w:val="single"/>
          <w:left w:color="c9ccdb" w:space="0" w:sz="4" w:val="single"/>
          <w:bottom w:color="c9ccdb" w:space="0" w:sz="4" w:val="single"/>
          <w:right w:color="c9ccdb" w:space="0" w:sz="4" w:val="single"/>
          <w:insideH w:color="c9ccdb" w:space="0" w:sz="4" w:val="single"/>
          <w:insideV w:color="c9ccdb" w:space="0" w:sz="4" w:val="single"/>
        </w:tblBorders>
        <w:tblLayout w:type="fixed"/>
        <w:tblLook w:val="0000"/>
      </w:tblPr>
      <w:tblGrid>
        <w:gridCol w:w="2600"/>
        <w:gridCol w:w="3100"/>
        <w:gridCol w:w="3100"/>
        <w:tblGridChange w:id="0">
          <w:tblGrid>
            <w:gridCol w:w="2600"/>
            <w:gridCol w:w="3100"/>
            <w:gridCol w:w="3100"/>
          </w:tblGrid>
        </w:tblGridChange>
      </w:tblGrid>
      <w:tr>
        <w:trPr>
          <w:cantSplit w:val="0"/>
          <w:tblHeader w:val="1"/>
        </w:trPr>
        <w:tc>
          <w:tcPr>
            <w:shd w:fill="1e276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76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Sprint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 (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Cierre Hito M3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76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Sprint 7 (actual)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761"/>
                <w:sz w:val="20"/>
                <w:szCs w:val="20"/>
                <w:rtl w:val="0"/>
              </w:rPr>
              <w:t xml:space="preserve">Periodo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-2026 a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16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Semana del Sprint 7 — Semana 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, cierre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18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-10-2026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f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761"/>
                <w:sz w:val="20"/>
                <w:szCs w:val="20"/>
                <w:rtl w:val="0"/>
              </w:rPr>
              <w:t xml:space="preserve">Estado global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f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Verde (100% de lo comprometido)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f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Planificado (Sprint recién iniciado)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761"/>
                <w:sz w:val="20"/>
                <w:szCs w:val="20"/>
                <w:rtl w:val="0"/>
              </w:rPr>
              <w:t xml:space="preserve">Unidad de seguimiento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Story Points (SP)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Story Points (SP)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f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761"/>
                <w:sz w:val="20"/>
                <w:szCs w:val="20"/>
                <w:rtl w:val="0"/>
              </w:rPr>
              <w:t xml:space="preserve">Entregable distintivo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f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Monorepo operativo + contrato OpenAPI v1 congelado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f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Foco en particionado de BD y curación ontológica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120" w:line="276" w:lineRule="auto"/>
        <w:rPr>
          <w:rFonts w:ascii="Calibri" w:cs="Calibri" w:eastAsia="Calibri" w:hAnsi="Calibri"/>
          <w:color w:val="2b2b2b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pBdr>
          <w:bottom w:color="1e2761" w:space="4" w:sz="12" w:val="single"/>
        </w:pBdr>
        <w:spacing w:after="160" w:before="360" w:lineRule="auto"/>
        <w:rPr/>
      </w:pPr>
      <w:bookmarkStart w:colFirst="0" w:colLast="0" w:name="_heading=h.f9nrsz5lzspg" w:id="0"/>
      <w:bookmarkEnd w:id="0"/>
      <w:r w:rsidDel="00000000" w:rsidR="00000000" w:rsidRPr="00000000">
        <w:rPr>
          <w:rFonts w:ascii="Cambria" w:cs="Cambria" w:eastAsia="Cambria" w:hAnsi="Cambria"/>
          <w:b w:val="1"/>
          <w:bCs w:val="1"/>
          <w:color w:val="1e2761"/>
          <w:sz w:val="30"/>
          <w:szCs w:val="30"/>
          <w:rtl w:val="0"/>
        </w:rPr>
        <w:t xml:space="preserve">3. Resumen Retrospectivo de Ejecución: Sprints 1 al 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El equipo logró mantener un buen ritmo de trabajo durante los 3 primeros sprints, teniendo un problema debido a la poca comunicación que existía en ese momento con los otros equipos en cuanto a las tareas de las que cada equipo debía encargarse, esta inquietud fue expresada por el equipo encargado del backend y el portal o front-end, y se detuvo el trabajo durante una semana para a la semana siguiente poder equiparar avances debido a un cambio de responsabilidades que se pidió por el equipo antes mencionado y fue aceptado por todos los equipos, las últimas dos semanas se han realizado las tareas correspondientes a dos sprints en una semana y al ver que este flujo de trabajo realmente no es demasiado exigente se llevará de esta manera las siguientes semanas.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Sprints 1 al 3: Fundaciones, Aislamiento y Despliegue Base (Hito M1)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Estado:</w:t>
      </w:r>
      <w:r w:rsidDel="00000000" w:rsidR="00000000" w:rsidRPr="00000000">
        <w:rPr>
          <w:rtl w:val="0"/>
        </w:rPr>
        <w:t xml:space="preserve"> Completado (100%).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Hitos logrados: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Empaquetado del monorepo en </w:t>
      </w:r>
      <w:r w:rsidDel="00000000" w:rsidR="00000000" w:rsidRPr="00000000">
        <w:rPr>
          <w:rtl w:val="0"/>
        </w:rPr>
        <w:t xml:space="preserve">workspace uv</w:t>
      </w:r>
      <w:r w:rsidDel="00000000" w:rsidR="00000000" w:rsidRPr="00000000">
        <w:rPr>
          <w:rtl w:val="0"/>
        </w:rPr>
        <w:t xml:space="preserve"> con tipado estricto (Mypy) y linters (Ruff).</w:t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Migración definitiva y despliegue del esquema </w:t>
      </w:r>
      <w:r w:rsidDel="00000000" w:rsidR="00000000" w:rsidRPr="00000000">
        <w:rPr>
          <w:rtl w:val="0"/>
        </w:rPr>
        <w:t xml:space="preserve">cm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tl w:val="0"/>
        </w:rPr>
        <w:t xml:space="preserve">vec</w:t>
      </w:r>
      <w:r w:rsidDel="00000000" w:rsidR="00000000" w:rsidRPr="00000000">
        <w:rPr>
          <w:rtl w:val="0"/>
        </w:rPr>
        <w:t xml:space="preserve"> en PostgreSQL 16 + pgvector, descartando dependencias de Neo4j/Qdrant (ADR-018).</w:t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Implementación de Row Level Security (RLS) en todas las tablas del esquema.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Aislamiento de namespaces en Redis y consolidación de la máquina de 16 estados inmutables.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Congelamiento del contrato OpenAPI v1 de </w:t>
      </w:r>
      <w:r w:rsidDel="00000000" w:rsidR="00000000" w:rsidRPr="00000000">
        <w:rPr>
          <w:rtl w:val="0"/>
        </w:rPr>
        <w:t xml:space="preserve">/internal/v1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Sprint 4: Ingesta a Escala y Capas Vectoriales Operativas (Hito M2)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Estado:</w:t>
      </w:r>
      <w:r w:rsidDel="00000000" w:rsidR="00000000" w:rsidRPr="00000000">
        <w:rPr>
          <w:rtl w:val="0"/>
        </w:rPr>
        <w:t xml:space="preserve"> Completado (11 tickets, 50 SP ejecutados).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Hitos logrados: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Francisco Salinas:</w:t>
      </w:r>
      <w:r w:rsidDel="00000000" w:rsidR="00000000" w:rsidRPr="00000000">
        <w:rPr>
          <w:rtl w:val="0"/>
        </w:rPr>
        <w:t xml:space="preserve"> Implementó la ingesta en streaming por lotes para </w:t>
      </w:r>
      <w:r w:rsidDel="00000000" w:rsidR="00000000" w:rsidRPr="00000000">
        <w:rPr>
          <w:rtl w:val="0"/>
        </w:rPr>
        <w:t xml:space="preserve">tree-sitter</w:t>
      </w:r>
      <w:r w:rsidDel="00000000" w:rsidR="00000000" w:rsidRPr="00000000">
        <w:rPr>
          <w:rtl w:val="0"/>
        </w:rPr>
        <w:t xml:space="preserve">, logrando mantener el consumo de memoria bajo 1.5 GB. Agregó la resolución de ramas por tenant y fallback automático ante divergencias en Git.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Anderson González:</w:t>
      </w:r>
      <w:r w:rsidDel="00000000" w:rsidR="00000000" w:rsidRPr="00000000">
        <w:rPr>
          <w:rtl w:val="0"/>
        </w:rPr>
        <w:t xml:space="preserve"> Desplegó la extracción SQL en modo solo lectura con timeout, y habilitó la cola de curación (</w:t>
      </w:r>
      <w:r w:rsidDel="00000000" w:rsidR="00000000" w:rsidRPr="00000000">
        <w:rPr>
          <w:rtl w:val="0"/>
        </w:rPr>
        <w:t xml:space="preserve">cm.curation_queue</w:t>
      </w:r>
      <w:r w:rsidDel="00000000" w:rsidR="00000000" w:rsidRPr="00000000">
        <w:rPr>
          <w:rtl w:val="0"/>
        </w:rPr>
        <w:t xml:space="preserve">) con conmutación atómica.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Mario García:</w:t>
      </w:r>
      <w:r w:rsidDel="00000000" w:rsidR="00000000" w:rsidRPr="00000000">
        <w:rPr>
          <w:rtl w:val="0"/>
        </w:rPr>
        <w:t xml:space="preserve"> Registró el logging estructurado JSON con </w:t>
      </w:r>
      <w:r w:rsidDel="00000000" w:rsidR="00000000" w:rsidRPr="00000000">
        <w:rPr>
          <w:rtl w:val="0"/>
        </w:rPr>
        <w:t xml:space="preserve">trace_id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tl w:val="0"/>
        </w:rPr>
        <w:t xml:space="preserve">tenant_id</w:t>
      </w:r>
      <w:r w:rsidDel="00000000" w:rsidR="00000000" w:rsidRPr="00000000">
        <w:rPr>
          <w:rtl w:val="0"/>
        </w:rPr>
        <w:t xml:space="preserve">. Creó los índices de aristas y HNSW para búsquedas vectoriales eficientes.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Iván Henríquez:</w:t>
      </w:r>
      <w:r w:rsidDel="00000000" w:rsidR="00000000" w:rsidRPr="00000000">
        <w:rPr>
          <w:rtl w:val="0"/>
        </w:rPr>
        <w:t xml:space="preserve"> Absorbió trabajo adicional asumiendo la corrección del AST (atribución de llamadas y recursión) y la demostración end-to-end del Hito M2 validando el pipeline completo sobre PostgreSQL 16.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Sprint 5: Resiliencia LLM, Auditoría Inmutable y Control (Hito M2.5)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Estado:</w:t>
      </w:r>
      <w:r w:rsidDel="00000000" w:rsidR="00000000" w:rsidRPr="00000000">
        <w:rPr>
          <w:rtl w:val="0"/>
        </w:rPr>
        <w:t xml:space="preserve"> Completado.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Hitos logrados: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Iván Henríquez:</w:t>
      </w:r>
      <w:r w:rsidDel="00000000" w:rsidR="00000000" w:rsidRPr="00000000">
        <w:rPr>
          <w:rtl w:val="0"/>
        </w:rPr>
        <w:t xml:space="preserve"> Adopción del cliente canónico LLM con reintentos exponenciales y escalado de tiers automático. Implementación de defensas contra prompt injection (20 casos adversarios) y estimación de consumo de tokens en seco.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Anderson González &amp; Mario García:</w:t>
      </w:r>
      <w:r w:rsidDel="00000000" w:rsidR="00000000" w:rsidRPr="00000000">
        <w:rPr>
          <w:rtl w:val="0"/>
        </w:rPr>
        <w:t xml:space="preserve"> Endurecimiento del principio WORM (Write Once, Read Many) en la base de datos, revocando permisos </w:t>
      </w:r>
      <w:r w:rsidDel="00000000" w:rsidR="00000000" w:rsidRPr="00000000">
        <w:rPr>
          <w:rtl w:val="0"/>
        </w:rPr>
        <w:t xml:space="preserve">UPDATE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DELETE</w:t>
      </w:r>
      <w:r w:rsidDel="00000000" w:rsidR="00000000" w:rsidRPr="00000000">
        <w:rPr>
          <w:rtl w:val="0"/>
        </w:rPr>
        <w:t xml:space="preserve"> en tablas probatorias (</w:t>
      </w:r>
      <w:r w:rsidDel="00000000" w:rsidR="00000000" w:rsidRPr="00000000">
        <w:rPr>
          <w:rtl w:val="0"/>
        </w:rPr>
        <w:t xml:space="preserve">gate_signatures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llm_steps</w:t>
      </w:r>
      <w:r w:rsidDel="00000000" w:rsidR="00000000" w:rsidRPr="00000000">
        <w:rPr>
          <w:rtl w:val="0"/>
        </w:rPr>
        <w:t xml:space="preserve">). Se implementó la cadena de hashes inquebrantable en auditoría y el trigger de cálculo de cuotas por aniversario.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Francisco Salinas:</w:t>
      </w:r>
      <w:r w:rsidDel="00000000" w:rsidR="00000000" w:rsidRPr="00000000">
        <w:rPr>
          <w:rtl w:val="0"/>
        </w:rPr>
        <w:t xml:space="preserve"> Auditoría y cierre formal de los 13 hallazgos prioritarios identificados en CodeMapping.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Sprint 6: Cadena Semántica Tipada, Índices y Primer Pipeline Completo (Hito M3)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Estado:</w:t>
      </w:r>
      <w:r w:rsidDel="00000000" w:rsidR="00000000" w:rsidRPr="00000000">
        <w:rPr>
          <w:rtl w:val="0"/>
        </w:rPr>
        <w:t xml:space="preserve"> Completado.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Hitos logrados:</w:t>
      </w:r>
    </w:p>
    <w:p w:rsidR="00000000" w:rsidDel="00000000" w:rsidP="00000000" w:rsidRDefault="00000000" w:rsidRPr="00000000" w14:paraId="0000004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CodeMapping (Iván &amp; Francisco):</w:t>
      </w:r>
      <w:r w:rsidDel="00000000" w:rsidR="00000000" w:rsidRPr="00000000">
        <w:rPr>
          <w:rtl w:val="0"/>
        </w:rPr>
        <w:t xml:space="preserve"> Se fijaron los contratos de salida LLM con esquemas Pydantic estrictos (</w:t>
      </w:r>
      <w:r w:rsidDel="00000000" w:rsidR="00000000" w:rsidRPr="00000000">
        <w:rPr>
          <w:rtl w:val="0"/>
        </w:rPr>
        <w:t xml:space="preserve">additionalProperties: False</w:t>
      </w:r>
      <w:r w:rsidDel="00000000" w:rsidR="00000000" w:rsidRPr="00000000">
        <w:rPr>
          <w:rtl w:val="0"/>
        </w:rPr>
        <w:t xml:space="preserve">). Se construyó el umbral de confianza por tenant para enlaces ontológicos y el contrato JSON de estadísticas de ingesta, elevando la cobertura de mutación sobre el 75%.</w:t>
      </w:r>
    </w:p>
    <w:p w:rsidR="00000000" w:rsidDel="00000000" w:rsidP="00000000" w:rsidRDefault="00000000" w:rsidRPr="00000000" w14:paraId="00000046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Database (Anderson &amp; Mario):</w:t>
      </w:r>
      <w:r w:rsidDel="00000000" w:rsidR="00000000" w:rsidRPr="00000000">
        <w:rPr>
          <w:rtl w:val="0"/>
        </w:rPr>
        <w:t xml:space="preserve"> Se ejecutó un plan de índices justificado con </w:t>
      </w:r>
      <w:r w:rsidDel="00000000" w:rsidR="00000000" w:rsidRPr="00000000">
        <w:rPr>
          <w:rtl w:val="0"/>
        </w:rPr>
        <w:t xml:space="preserve">pg_stat_statements</w:t>
      </w:r>
      <w:r w:rsidDel="00000000" w:rsidR="00000000" w:rsidRPr="00000000">
        <w:rPr>
          <w:rtl w:val="0"/>
        </w:rPr>
        <w:t xml:space="preserve">, implementando la convención tenant-first. Se depuraron índices redundantes y se afinaron los planes de ejecución garantizando cero Seq Scans en tablas críticas.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pBdr>
          <w:bottom w:color="1e2761" w:space="4" w:sz="12" w:val="single"/>
        </w:pBdr>
        <w:spacing w:after="160" w:before="360" w:lineRule="auto"/>
        <w:rPr>
          <w:rFonts w:ascii="Cambria" w:cs="Cambria" w:eastAsia="Cambria" w:hAnsi="Cambria"/>
          <w:b w:val="1"/>
          <w:bCs w:val="1"/>
          <w:color w:val="1e276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pBdr>
          <w:bottom w:color="1e2761" w:space="4" w:sz="12" w:val="single"/>
        </w:pBdr>
        <w:spacing w:after="160" w:before="36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e2761"/>
          <w:sz w:val="30"/>
          <w:szCs w:val="30"/>
          <w:rtl w:val="0"/>
        </w:rPr>
        <w:t xml:space="preserve">4. Seguimiento de riesgos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color w:val="2b2b2b"/>
          <w:sz w:val="22"/>
          <w:szCs w:val="22"/>
          <w:rtl w:val="0"/>
        </w:rPr>
        <w:t xml:space="preserve">Estado actual de los riesgos preliminares identificados en el Acta de Constitución y en el Estado de Avance del Sprint 1, más los riesgos nuevos detectados durante el Sprint 7.</w:t>
      </w:r>
      <w:r w:rsidDel="00000000" w:rsidR="00000000" w:rsidRPr="00000000">
        <w:rPr>
          <w:rtl w:val="0"/>
        </w:rPr>
      </w:r>
    </w:p>
    <w:tbl>
      <w:tblPr>
        <w:tblStyle w:val="Table3"/>
        <w:tblW w:w="8700.0" w:type="dxa"/>
        <w:jc w:val="left"/>
        <w:tblBorders>
          <w:top w:color="c9ccdb" w:space="0" w:sz="4" w:val="single"/>
          <w:left w:color="c9ccdb" w:space="0" w:sz="4" w:val="single"/>
          <w:bottom w:color="c9ccdb" w:space="0" w:sz="4" w:val="single"/>
          <w:right w:color="c9ccdb" w:space="0" w:sz="4" w:val="single"/>
          <w:insideH w:color="c9ccdb" w:space="0" w:sz="4" w:val="single"/>
          <w:insideV w:color="c9ccdb" w:space="0" w:sz="4" w:val="single"/>
        </w:tblBorders>
        <w:tblLayout w:type="fixed"/>
        <w:tblLook w:val="0000"/>
      </w:tblPr>
      <w:tblGrid>
        <w:gridCol w:w="3200"/>
        <w:gridCol w:w="2100"/>
        <w:gridCol w:w="3400"/>
        <w:tblGridChange w:id="0">
          <w:tblGrid>
            <w:gridCol w:w="3200"/>
            <w:gridCol w:w="2100"/>
            <w:gridCol w:w="3400"/>
          </w:tblGrid>
        </w:tblGridChange>
      </w:tblGrid>
      <w:tr>
        <w:trPr>
          <w:cantSplit w:val="0"/>
          <w:tblHeader w:val="1"/>
        </w:trPr>
        <w:tc>
          <w:tcPr>
            <w:shd w:fill="1e276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76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76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Estado actual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761"/>
                <w:sz w:val="20"/>
                <w:szCs w:val="20"/>
                <w:rtl w:val="0"/>
              </w:rPr>
              <w:t xml:space="preserve">Migración DDL sobre vec.* en PostgreSQL 16 (KC-ONB-02-1) podía bloquear a Iván y Mario.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Estado de Avance Sprint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Resuelto — el esquema vec.* está desplegado, probado y con suite de regresión (KC-ONB-02-5).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f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761"/>
                <w:sz w:val="20"/>
                <w:szCs w:val="20"/>
                <w:rtl w:val="0"/>
              </w:rPr>
              <w:t xml:space="preserve">Migración D18 (retiro Neo4j/Qdrant) podía introducir regresiones no detectadas por falta de cobertura heredada.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f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Acta de Constitución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f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Mitigado — la nueva suite de la capa vectorial cubre aislamiento, recall e idempotencia; cobertura ampliada respecto a la heredada.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761"/>
                <w:sz w:val="20"/>
                <w:szCs w:val="20"/>
                <w:rtl w:val="0"/>
              </w:rPr>
              <w:t xml:space="preserve">Hallazgos de seguridad multi-tenant heredados (namespacing, RLS) podían tomar más tiempo del estimado.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Acta de Constitución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Resuelto para RLS de la capa vectorial (KC-SEC-01-3); namespacing de Redis ya cerrado desde Sprint 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f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761"/>
                <w:sz w:val="20"/>
                <w:szCs w:val="20"/>
                <w:rtl w:val="0"/>
              </w:rPr>
              <w:t xml:space="preserve">Desbalance de carga de trabajo entre integrantes.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f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Acta de Constitución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f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Mitigado - Todos los integrantes absorbieron tickets dependiendo de la disponibilidad dadas por horas de trabajo y estudio. En casos de sobrecarga debido a esto se tomaron tareas de otros integrantes para no detener el avance del pipeline.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761"/>
                <w:sz w:val="20"/>
                <w:szCs w:val="20"/>
                <w:rtl w:val="0"/>
              </w:rPr>
              <w:t xml:space="preserve">Cambios de alcance o criterios de evaluación del docente guía.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Acta de Constitución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Sin novedad reportada a la fecha.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f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761"/>
                <w:sz w:val="20"/>
                <w:szCs w:val="20"/>
                <w:rtl w:val="0"/>
              </w:rPr>
              <w:t xml:space="preserve">Regresión preexistente en test_config.py (área LLM/Semántica), detectada fuera del ticket en curso.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f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Resultados de pruebas KC-ONB-02-5 (nuevo)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f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Abierto — comunicado a Iván Henríquez, en revisión.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761"/>
                <w:sz w:val="20"/>
                <w:szCs w:val="20"/>
                <w:rtl w:val="0"/>
              </w:rPr>
              <w:t xml:space="preserve">Gate de CI de KC-FAB-02-5 con el umbral de violaciones desalineado (13 detectadas vs. 12 configuradas).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Resultados de pruebas KC-ONB-02-5 (nuevo)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En revisión — ajuste de umbral planificado para el próximo sprint.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pStyle w:val="Heading1"/>
        <w:pBdr>
          <w:bottom w:color="1e2761" w:space="4" w:sz="12" w:val="single"/>
        </w:pBdr>
        <w:spacing w:after="160" w:before="360" w:lineRule="auto"/>
        <w:rPr>
          <w:rFonts w:ascii="Cambria" w:cs="Cambria" w:eastAsia="Cambria" w:hAnsi="Cambria"/>
          <w:b w:val="1"/>
          <w:bCs w:val="1"/>
          <w:color w:val="1e276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pBdr>
          <w:bottom w:color="1e2761" w:space="4" w:sz="12" w:val="single"/>
        </w:pBdr>
        <w:spacing w:after="160" w:before="36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e2761"/>
          <w:sz w:val="30"/>
          <w:szCs w:val="30"/>
          <w:rtl w:val="0"/>
        </w:rPr>
        <w:t xml:space="preserve">5. Próximos pasos (Sprint 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/>
      </w:pPr>
      <w:r w:rsidDel="00000000" w:rsidR="00000000" w:rsidRPr="00000000">
        <w:rPr>
          <w:rtl w:val="0"/>
        </w:rPr>
        <w:t xml:space="preserve">Habiendo logrado la consolidación del Hito M3, el equipo tomara un enfoque en el particionado de las tabla de alto volumen y en el establecimiento de la cola de curación ontológica, ejecutando las siguientes tareas del backlog de CodeMapping y Database: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CodeMapping (Ontología y Curación)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80" w:line="276" w:lineRule="auto"/>
        <w:ind w:left="460" w:hanging="260"/>
        <w:rPr/>
      </w:pPr>
      <w:r w:rsidDel="00000000" w:rsidR="00000000" w:rsidRPr="00000000">
        <w:rPr>
          <w:rtl w:val="0"/>
        </w:rPr>
        <w:t xml:space="preserve">KC-CM-07-1: Inducción de la ontología con map-reduce jerárquico para evitar el truncamiento en repositorios grandes.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80" w:line="276" w:lineRule="auto"/>
        <w:ind w:left="460" w:hanging="260"/>
        <w:rPr/>
      </w:pPr>
      <w:r w:rsidDel="00000000" w:rsidR="00000000" w:rsidRPr="00000000">
        <w:rPr>
          <w:rtl w:val="0"/>
        </w:rPr>
        <w:t xml:space="preserve">KC-CM-07-2: Implementación de la cola de curación persistente (</w:t>
      </w:r>
      <w:r w:rsidDel="00000000" w:rsidR="00000000" w:rsidRPr="00000000">
        <w:rPr>
          <w:rtl w:val="0"/>
        </w:rPr>
        <w:t xml:space="preserve">cm.curation_queue</w:t>
      </w:r>
      <w:r w:rsidDel="00000000" w:rsidR="00000000" w:rsidRPr="00000000">
        <w:rPr>
          <w:rtl w:val="0"/>
        </w:rPr>
        <w:t xml:space="preserve">) con políticas RLS.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80" w:line="276" w:lineRule="auto"/>
        <w:ind w:left="460" w:hanging="260"/>
        <w:rPr/>
      </w:pPr>
      <w:r w:rsidDel="00000000" w:rsidR="00000000" w:rsidRPr="00000000">
        <w:rPr>
          <w:rtl w:val="0"/>
        </w:rPr>
        <w:t xml:space="preserve">KC-CM-07-3: Creación de la API de resolución y listado de la cola de curación para consumo de Backend y Portal.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80" w:line="276" w:lineRule="auto"/>
        <w:ind w:left="460" w:hanging="260"/>
        <w:rPr/>
      </w:pPr>
      <w:r w:rsidDel="00000000" w:rsidR="00000000" w:rsidRPr="00000000">
        <w:rPr>
          <w:rtl w:val="0"/>
        </w:rPr>
        <w:t xml:space="preserve">KC-CM-07-4: Detección de inyecciones de prompt y cuarentena de fragmentos sospechosos en el repositorio del cliente.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80" w:line="276" w:lineRule="auto"/>
        <w:ind w:left="460" w:hanging="260"/>
        <w:rPr/>
      </w:pPr>
      <w:r w:rsidDel="00000000" w:rsidR="00000000" w:rsidRPr="00000000">
        <w:rPr>
          <w:rtl w:val="0"/>
        </w:rPr>
        <w:t xml:space="preserve">KC-CM-07-5: Extracción del inventario de elementos de interfaz para la generación de pruebas de QA.</w:t>
      </w:r>
    </w:p>
    <w:p w:rsidR="00000000" w:rsidDel="00000000" w:rsidP="00000000" w:rsidRDefault="00000000" w:rsidRPr="00000000" w14:paraId="0000006D">
      <w:pPr>
        <w:spacing w:after="80" w:line="276" w:lineRule="auto"/>
        <w:ind w:left="4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80" w:line="276" w:lineRule="auto"/>
        <w:ind w:left="460" w:hanging="2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Database (Particionado y Retención)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60" w:right="0" w:hanging="260"/>
        <w:jc w:val="left"/>
      </w:pPr>
      <w:r w:rsidDel="00000000" w:rsidR="00000000" w:rsidRPr="00000000">
        <w:rPr>
          <w:rtl w:val="0"/>
        </w:rPr>
        <w:t xml:space="preserve">KC-DB-07-1: Particionado de la tabla </w:t>
      </w:r>
      <w:r w:rsidDel="00000000" w:rsidR="00000000" w:rsidRPr="00000000">
        <w:rPr>
          <w:rtl w:val="0"/>
        </w:rPr>
        <w:t xml:space="preserve">audit.audit_events</w:t>
      </w:r>
      <w:r w:rsidDel="00000000" w:rsidR="00000000" w:rsidRPr="00000000">
        <w:rPr>
          <w:rtl w:val="0"/>
        </w:rPr>
        <w:t xml:space="preserve"> por rango mensual utilizando </w:t>
      </w:r>
      <w:r w:rsidDel="00000000" w:rsidR="00000000" w:rsidRPr="00000000">
        <w:rPr>
          <w:rtl w:val="0"/>
        </w:rPr>
        <w:t xml:space="preserve">pg_partman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60" w:right="0" w:hanging="260"/>
        <w:jc w:val="left"/>
      </w:pPr>
      <w:r w:rsidDel="00000000" w:rsidR="00000000" w:rsidRPr="00000000">
        <w:rPr>
          <w:rtl w:val="0"/>
        </w:rPr>
        <w:t xml:space="preserve">KC-DB-07-2: Particionado de las tablas de crecimiento ilimitado </w:t>
      </w:r>
      <w:r w:rsidDel="00000000" w:rsidR="00000000" w:rsidRPr="00000000">
        <w:rPr>
          <w:rtl w:val="0"/>
        </w:rPr>
        <w:t xml:space="preserve">usage_tokens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tl w:val="0"/>
        </w:rPr>
        <w:t xml:space="preserve">job_transitions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60" w:right="0" w:hanging="260"/>
        <w:jc w:val="left"/>
      </w:pPr>
      <w:r w:rsidDel="00000000" w:rsidR="00000000" w:rsidRPr="00000000">
        <w:rPr>
          <w:rtl w:val="0"/>
        </w:rPr>
        <w:t xml:space="preserve">KC-DB-07-3: Particionado de las colas </w:t>
      </w:r>
      <w:r w:rsidDel="00000000" w:rsidR="00000000" w:rsidRPr="00000000">
        <w:rPr>
          <w:rtl w:val="0"/>
        </w:rPr>
        <w:t xml:space="preserve">webhook_inbox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tl w:val="0"/>
        </w:rPr>
        <w:t xml:space="preserve">notifications</w:t>
      </w:r>
      <w:r w:rsidDel="00000000" w:rsidR="00000000" w:rsidRPr="00000000">
        <w:rPr>
          <w:rtl w:val="0"/>
        </w:rPr>
        <w:t xml:space="preserve"> con purga por partición.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60" w:right="0" w:hanging="260"/>
        <w:jc w:val="left"/>
      </w:pPr>
      <w:r w:rsidDel="00000000" w:rsidR="00000000" w:rsidRPr="00000000">
        <w:rPr>
          <w:rtl w:val="0"/>
        </w:rPr>
        <w:t xml:space="preserve">KC-DB-07-4: Construcción de </w:t>
      </w:r>
      <w:r w:rsidDel="00000000" w:rsidR="00000000" w:rsidRPr="00000000">
        <w:rPr>
          <w:rtl w:val="0"/>
        </w:rPr>
        <w:t xml:space="preserve">core.retention_policies</w:t>
      </w:r>
      <w:r w:rsidDel="00000000" w:rsidR="00000000" w:rsidRPr="00000000">
        <w:rPr>
          <w:rtl w:val="0"/>
        </w:rPr>
        <w:t xml:space="preserve"> como tabla de configuración para las reglas de retención.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60" w:right="0" w:hanging="260"/>
        <w:jc w:val="left"/>
      </w:pPr>
      <w:r w:rsidDel="00000000" w:rsidR="00000000" w:rsidRPr="00000000">
        <w:rPr>
          <w:rtl w:val="0"/>
        </w:rPr>
        <w:t xml:space="preserve">KC-DB-07-5: Planificación y umbral de particionado LIST por tenant para la colección </w:t>
      </w:r>
      <w:r w:rsidDel="00000000" w:rsidR="00000000" w:rsidRPr="00000000">
        <w:rPr>
          <w:rtl w:val="0"/>
        </w:rPr>
        <w:t xml:space="preserve">vec.doc_chunks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60" w:right="0" w:hanging="260"/>
        <w:jc w:val="left"/>
      </w:pPr>
      <w:r w:rsidDel="00000000" w:rsidR="00000000" w:rsidRPr="00000000">
        <w:rPr>
          <w:rtl w:val="0"/>
        </w:rPr>
        <w:t xml:space="preserve">KC-DB-07-6: Elaboración del runbook operativo de mantenimiento de particiones y ensayo en entorno de demostración.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type w:val="nextPage"/>
      <w:pgSz w:h="15840" w:w="12240" w:orient="portrait"/>
      <w:pgMar w:bottom="1200" w:top="1300" w:left="1100" w:right="110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jc w:val="center"/>
      <w:rPr/>
    </w:pPr>
    <w:r w:rsidDel="00000000" w:rsidR="00000000" w:rsidRPr="00000000">
      <w:rPr>
        <w:rFonts w:ascii="Calibri" w:cs="Calibri" w:eastAsia="Calibri" w:hAnsi="Calibri"/>
        <w:color w:val="7a7e96"/>
        <w:sz w:val="16"/>
        <w:szCs w:val="16"/>
        <w:rtl w:val="0"/>
      </w:rPr>
      <w:t xml:space="preserve">KalliCode Platform — </w:t>
    </w:r>
    <w:r w:rsidDel="00000000" w:rsidR="00000000" w:rsidRPr="00000000">
      <w:rPr>
        <w:color w:val="7a7e96"/>
        <w:sz w:val="16"/>
        <w:szCs w:val="16"/>
        <w:rtl w:val="0"/>
      </w:rPr>
      <w:t xml:space="preserve">Estado de avance</w:t>
    </w:r>
    <w:r w:rsidDel="00000000" w:rsidR="00000000" w:rsidRPr="00000000">
      <w:rPr>
        <w:rFonts w:ascii="Calibri" w:cs="Calibri" w:eastAsia="Calibri" w:hAnsi="Calibri"/>
        <w:color w:val="7a7e96"/>
        <w:sz w:val="16"/>
        <w:szCs w:val="16"/>
        <w:rtl w:val="0"/>
      </w:rPr>
      <w:t xml:space="preserve"> · Página </w:t>
    </w:r>
    <w:r w:rsidDel="00000000" w:rsidR="00000000" w:rsidRPr="00000000">
      <w:rPr>
        <w:rFonts w:ascii="Calibri" w:cs="Calibri" w:eastAsia="Calibri" w:hAnsi="Calibri"/>
        <w:color w:val="7a7e96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color w:val="7a7e96"/>
        <w:sz w:val="16"/>
        <w:szCs w:val="16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color w:val="7a7e96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pBdr>
        <w:bottom w:color="b08d57" w:space="4" w:sz="6" w:val="single"/>
      </w:pBdr>
      <w:jc w:val="right"/>
      <w:rPr/>
    </w:pPr>
    <w:r w:rsidDel="00000000" w:rsidR="00000000" w:rsidRPr="00000000">
      <w:rPr>
        <w:rFonts w:ascii="Calibri" w:cs="Calibri" w:eastAsia="Calibri" w:hAnsi="Calibri"/>
        <w:b w:val="1"/>
        <w:bCs w:val="1"/>
        <w:color w:val="1e2761"/>
        <w:sz w:val="16"/>
        <w:szCs w:val="16"/>
        <w:rtl w:val="0"/>
      </w:rPr>
      <w:t xml:space="preserve">KalliCode Platform · Estado de Avance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460" w:hanging="260"/>
      </w:pPr>
      <w:rPr>
        <w:rFonts w:ascii="Calibri" w:cs="Calibri" w:eastAsia="Calibri" w:hAnsi="Calibri"/>
        <w:color w:val="1e2761"/>
      </w:rPr>
    </w:lvl>
    <w:lvl w:ilvl="1">
      <w:start w:val="1"/>
      <w:numFmt w:val="bullet"/>
      <w:lvlText w:val="○"/>
      <w:lvlJc w:val="left"/>
      <w:pPr>
        <w:ind w:left="0" w:firstLine="0"/>
      </w:pPr>
      <w:rPr/>
    </w:lvl>
    <w:lvl w:ilvl="2">
      <w:start w:val="1"/>
      <w:numFmt w:val="bullet"/>
      <w:lvlText w:val="■"/>
      <w:lvlJc w:val="left"/>
      <w:pPr>
        <w:ind w:left="0" w:firstLine="0"/>
      </w:pPr>
      <w:rPr/>
    </w:lvl>
    <w:lvl w:ilvl="3">
      <w:start w:val="1"/>
      <w:numFmt w:val="bullet"/>
      <w:lvlText w:val="●"/>
      <w:lvlJc w:val="left"/>
      <w:pPr>
        <w:ind w:left="0" w:firstLine="0"/>
      </w:pPr>
      <w:rPr/>
    </w:lvl>
    <w:lvl w:ilvl="4">
      <w:start w:val="1"/>
      <w:numFmt w:val="bullet"/>
      <w:lvlText w:val="○"/>
      <w:lvlJc w:val="left"/>
      <w:pPr>
        <w:ind w:left="0" w:firstLine="0"/>
      </w:pPr>
      <w:rPr/>
    </w:lvl>
    <w:lvl w:ilvl="5">
      <w:start w:val="1"/>
      <w:numFmt w:val="bullet"/>
      <w:lvlText w:val="■"/>
      <w:lvlJc w:val="left"/>
      <w:pPr>
        <w:ind w:left="0" w:firstLine="0"/>
      </w:pPr>
      <w:rPr/>
    </w:lvl>
    <w:lvl w:ilvl="6">
      <w:start w:val="1"/>
      <w:numFmt w:val="bullet"/>
      <w:lvlText w:val="●"/>
      <w:lvlJc w:val="left"/>
      <w:pPr>
        <w:ind w:left="0" w:firstLine="0"/>
      </w:pPr>
      <w:rPr/>
    </w:lvl>
    <w:lvl w:ilvl="7">
      <w:start w:val="1"/>
      <w:numFmt w:val="bullet"/>
      <w:lvlText w:val="○"/>
      <w:lvlJc w:val="left"/>
      <w:pPr>
        <w:ind w:left="0" w:firstLine="0"/>
      </w:pPr>
      <w:rPr/>
    </w:lvl>
    <w:lvl w:ilvl="8">
      <w:start w:val="1"/>
      <w:numFmt w:val="bullet"/>
      <w:lvlText w:val="■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2b2b2b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b2b2b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dasK9nSN/ntHZthsvzbGccvU8w==">CgMxLjAyDmguZjlucnN6NWx6c3BnOAByITFhMld5ZUZ0eVRWQzVEdlVJMWlrRERrSmQ5dnFidW1WNw==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2026-10-10T01:36:01.462Z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