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64"/>
          <w:szCs w:val="64"/>
        </w:rPr>
        <w:t xml:space="preserve">KALLICODE</w:t>
      </w:r>
    </w:p>
    <w:p>
      <w:pPr>
        <w:spacing w:after="320" w:before="80"/>
        <w:jc w:val="center"/>
      </w:pPr>
      <w:r>
        <w:rPr>
          <w:rFonts w:ascii="Calibri" w:cs="Calibri" w:eastAsia="Calibri" w:hAnsi="Calibri"/>
          <w:b/>
          <w:bCs/>
          <w:color w:val="B08D57"/>
          <w:sz w:val="24"/>
          <w:szCs w:val="24"/>
        </w:rPr>
        <w:t xml:space="preserve">PLATFORM · PORTAFOLIO DE TÍTULO</w:t>
      </w:r>
    </w:p>
    <w:p>
      <w:pPr>
        <w:spacing w:after="160"/>
        <w:jc w:val="center"/>
      </w:pPr>
      <w:r>
        <w:rPr>
          <w:rFonts w:ascii="Cambria" w:cs="Cambria" w:eastAsia="Cambria" w:hAnsi="Cambria"/>
          <w:b/>
          <w:bCs/>
          <w:color w:val="121A47"/>
          <w:sz w:val="44"/>
          <w:szCs w:val="44"/>
        </w:rPr>
        <w:t xml:space="preserve">Addendum — Modelo de Base de Datos</w:t>
      </w:r>
    </w:p>
    <w:p>
      <w:pPr>
        <w:spacing w:after="900"/>
        <w:jc w:val="center"/>
      </w:pPr>
      <w:r>
        <w:rPr>
          <w:rFonts w:ascii="Calibri" w:cs="Calibri" w:eastAsia="Calibri" w:hAnsi="Calibri"/>
          <w:i/>
          <w:iCs/>
          <w:color w:val="2B2B2B"/>
          <w:sz w:val="24"/>
          <w:szCs w:val="24"/>
        </w:rPr>
        <w:t xml:space="preserve">Desfase diseño (Fase 1) vs. implementación verificada (Fase 2, KC-ONB-02-5)</w:t>
      </w:r>
    </w:p>
    <w:tbl>
      <w:tblPr>
        <w:tblW w:type="dxa" w:w="7200"/>
        <w:jc w:val="center"/>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tblGrid>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Proyecto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KalliCode Platform: Fusión CodeMapping y Fábrica de Producción (E1+E2)</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Documento base</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Modelo de Base de Datos y Diccionario Técnico — KalliCode Platform.docx (Fase 1, Anderson González)</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Este documento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Addendum de Fase 2 — Desfase Diseño vs. Implementación</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1.0</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Fecha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Elaborado por</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E2761" w:sz="12" w:space="4"/>
        </w:pBdr>
        <w:spacing w:after="160" w:before="360"/>
      </w:pPr>
      <w:r>
        <w:rPr>
          <w:rFonts w:ascii="Cambria" w:cs="Cambria" w:eastAsia="Cambria" w:hAnsi="Cambria"/>
          <w:b/>
          <w:bCs/>
          <w:color w:val="1E2761"/>
          <w:sz w:val="30"/>
          <w:szCs w:val="30"/>
        </w:rPr>
        <w:t xml:space="preserve">1. Propósito de este addendum</w:t>
      </w:r>
    </w:p>
    <w:p>
      <w:pPr>
        <w:spacing w:after="120" w:line="276"/>
      </w:pPr>
      <w:r>
        <w:rPr>
          <w:rFonts w:ascii="Calibri" w:cs="Calibri" w:eastAsia="Calibri" w:hAnsi="Calibri"/>
          <w:color w:val="2B2B2B"/>
          <w:sz w:val="22"/>
          <w:szCs w:val="22"/>
        </w:rPr>
        <w:t xml:space="preserve">El documento original Modelo de Base de Datos y Diccionario Técnico (Fase 1, elaborado por Anderson González) especifica el diseño relacional de referencia de KalliCode Platform. Durante la implementación y prueba del ticket KC-ONB-02-5, el código real de la capa vectorial (packages/core/kallicode_core/vectores.py) y del normalizador de ingesta (apps/workers/kallicode_workers/normalizer.py) se comparó contra ese diseño y se encontraron diferencias de nombres de columnas, una tabla no documentada, y un vacío de seguridad en el DDL original. Este addendum registra ese desfase sin modificar el documento original, para que el equipo decida cómo reconciliarlo: actualizando el diseño a la implementación real, o corrigiendo la implementación para que siga el diseño.</w:t>
      </w:r>
    </w:p>
    <w:p>
      <w:pPr>
        <w:pStyle w:val="Heading1"/>
        <w:pBdr>
          <w:bottom w:val="single" w:color="1E2761" w:sz="12" w:space="4"/>
        </w:pBdr>
        <w:spacing w:after="160" w:before="360"/>
      </w:pPr>
      <w:r>
        <w:rPr>
          <w:rFonts w:ascii="Cambria" w:cs="Cambria" w:eastAsia="Cambria" w:hAnsi="Cambria"/>
          <w:b/>
          <w:bCs/>
          <w:color w:val="1E2761"/>
          <w:sz w:val="30"/>
          <w:szCs w:val="30"/>
        </w:rPr>
        <w:t xml:space="preserve">2. Resumen del hallazgo</w:t>
      </w:r>
    </w:p>
    <w:p>
      <w:pPr>
        <w:pStyle w:val="ListParagraph"/>
        <w:numPr>
          <w:ilvl w:val="0"/>
          <w:numId w:val="2"/>
        </w:numPr>
        <w:spacing w:after="80"/>
      </w:pPr>
      <w:r>
        <w:rPr>
          <w:rFonts w:ascii="Calibri" w:cs="Calibri" w:eastAsia="Calibri" w:hAnsi="Calibri"/>
          <w:b w:val="false"/>
          <w:bCs w:val="false"/>
          <w:color w:val="2B2B2B"/>
          <w:sz w:val="22"/>
          <w:szCs w:val="22"/>
        </w:rPr>
        <w:t xml:space="preserve">La tabla vec.definition_embeddings está implementada con nombres de columna distintos a los del diseño de Fase 1 (sección 3).</w:t>
      </w:r>
    </w:p>
    <w:p>
      <w:pPr>
        <w:pStyle w:val="ListParagraph"/>
        <w:numPr>
          <w:ilvl w:val="0"/>
          <w:numId w:val="2"/>
        </w:numPr>
        <w:spacing w:after="80"/>
      </w:pPr>
      <w:r>
        <w:rPr>
          <w:rFonts w:ascii="Calibri" w:cs="Calibri" w:eastAsia="Calibri" w:hAnsi="Calibri"/>
          <w:b w:val="false"/>
          <w:bCs w:val="false"/>
          <w:color w:val="2B2B2B"/>
          <w:sz w:val="22"/>
          <w:szCs w:val="22"/>
        </w:rPr>
        <w:t xml:space="preserve">La tabla vec.ticket_embeddings existe y está en uso real, pero no aparece documentada en el Modelo de Base de Datos de Fase 1 (sección 4).</w:t>
      </w:r>
    </w:p>
    <w:p>
      <w:pPr>
        <w:pStyle w:val="ListParagraph"/>
        <w:numPr>
          <w:ilvl w:val="0"/>
          <w:numId w:val="2"/>
        </w:numPr>
        <w:spacing w:after="80"/>
      </w:pPr>
      <w:r>
        <w:rPr>
          <w:rFonts w:ascii="Calibri" w:cs="Calibri" w:eastAsia="Calibri" w:hAnsi="Calibri"/>
          <w:b w:val="false"/>
          <w:bCs w:val="false"/>
          <w:color w:val="2B2B2B"/>
          <w:sz w:val="22"/>
          <w:szCs w:val="22"/>
        </w:rPr>
        <w:t xml:space="preserve">Las tablas core.organizations, core.webhook_inbox y core.tickets, usadas activamente por el normalizador de ingesta, no aparecen en el diccionario de datos de Fase 1, que en su lugar documenta core.tenants y core.jobs (sección 5).</w:t>
      </w:r>
    </w:p>
    <w:p>
      <w:pPr>
        <w:pStyle w:val="ListParagraph"/>
        <w:numPr>
          <w:ilvl w:val="0"/>
          <w:numId w:val="2"/>
        </w:numPr>
        <w:spacing w:after="80"/>
      </w:pPr>
      <w:r>
        <w:rPr>
          <w:rFonts w:ascii="Calibri" w:cs="Calibri" w:eastAsia="Calibri" w:hAnsi="Calibri"/>
          <w:b w:val="false"/>
          <w:bCs w:val="false"/>
          <w:color w:val="2B2B2B"/>
          <w:sz w:val="22"/>
          <w:szCs w:val="22"/>
        </w:rPr>
        <w:t xml:space="preserve">El DDL de RLS de Fase 1 nunca definió un rol de base de datos de login sin privilegio de superusuario: todas las conexiones de prueba usaban por defecto el superusuario de Postgres, que tiene Bypass RLS, por lo que ninguna política RLS se ejercitaba realmente (sección 6).</w:t>
      </w:r>
    </w:p>
    <w:p>
      <w:pPr>
        <w:pStyle w:val="Heading1"/>
        <w:pBdr>
          <w:bottom w:val="single" w:color="1E2761" w:sz="12" w:space="4"/>
        </w:pBdr>
        <w:spacing w:after="160" w:before="360"/>
      </w:pPr>
      <w:r>
        <w:rPr>
          <w:rFonts w:ascii="Cambria" w:cs="Cambria" w:eastAsia="Cambria" w:hAnsi="Cambria"/>
          <w:b/>
          <w:bCs/>
          <w:color w:val="1E2761"/>
          <w:sz w:val="30"/>
          <w:szCs w:val="30"/>
        </w:rPr>
        <w:t xml:space="preserve">3. vec.definition_embeddings — diseño vs. implementación</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2800"/>
        <w:gridCol w:w="2800"/>
        <w:gridCol w:w="2800"/>
      </w:tblGrid>
      <w:tr>
        <w:trPr>
          <w:tblHeader/>
        </w:trPr>
        <w:tc>
          <w:tcPr>
            <w:tcW w:type="dxa" w:w="2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Campo en el diseño (Fase 1)</w:t>
            </w:r>
          </w:p>
        </w:tc>
        <w:tc>
          <w:tcPr>
            <w:tcW w:type="dxa" w:w="2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Campo real (vectores.py)</w:t>
            </w:r>
          </w:p>
        </w:tc>
        <w:tc>
          <w:tcPr>
            <w:tcW w:type="dxa" w:w="2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Nota</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embedding_id (PK)</w:t>
            </w:r>
          </w:p>
        </w:tc>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id (PK)</w:t>
            </w:r>
          </w:p>
        </w:tc>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Mismo propósito, nombre distinto.</w:t>
            </w:r>
          </w:p>
        </w:tc>
      </w:tr>
      <w:tr>
        <w:tc>
          <w:tcPr>
            <w:tcW w:type="dxa" w:w="2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def_id (FK a cm.definitions)</w:t>
            </w:r>
          </w:p>
        </w:tc>
        <w:tc>
          <w:tcPr>
            <w:tcW w:type="dxa" w:w="2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nodo_ref (text)</w:t>
            </w:r>
          </w:p>
        </w:tc>
        <w:tc>
          <w:tcPr>
            <w:tcW w:type="dxa" w:w="2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La implementación real no referencia cm.definitions por FK; usa una referencia de texto libre (nodo_ref) con restricción UNIQUE (tenant_id, nodo_ref). No hay integridad referencial contra el grafo de CodeMapping.</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 (no existe en el diseño)</w:t>
            </w:r>
          </w:p>
        </w:tc>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capa, nombre, descripcion, modulo</w:t>
            </w:r>
          </w:p>
        </w:tc>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Columnas adicionales no contempladas en el diseño de Fase 1.</w:t>
            </w:r>
          </w:p>
        </w:tc>
      </w:tr>
      <w:tr>
        <w:tc>
          <w:tcPr>
            <w:tcW w:type="dxa" w:w="2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vector (vector(1024))</w:t>
            </w:r>
          </w:p>
        </w:tc>
        <w:tc>
          <w:tcPr>
            <w:tcW w:type="dxa" w:w="2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embedding (vector)</w:t>
            </w:r>
          </w:p>
        </w:tc>
        <w:tc>
          <w:tcPr>
            <w:tcW w:type="dxa" w:w="2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Mismo tipo de dato, nombre de columna distinto.</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contenido_hash</w:t>
            </w:r>
          </w:p>
        </w:tc>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texto_hash</w:t>
            </w:r>
          </w:p>
        </w:tc>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Mismo propósito (evitar recálculo), nombre distinto.</w:t>
            </w:r>
          </w:p>
        </w:tc>
      </w:tr>
      <w:tr>
        <w:tc>
          <w:tcPr>
            <w:tcW w:type="dxa" w:w="2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created_at</w:t>
            </w:r>
          </w:p>
        </w:tc>
        <w:tc>
          <w:tcPr>
            <w:tcW w:type="dxa" w:w="2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actualizado_en</w:t>
            </w:r>
          </w:p>
        </w:tc>
        <w:tc>
          <w:tcPr>
            <w:tcW w:type="dxa" w:w="2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La columna real se actualiza en cada upsert (ON CONFLICT DO UPDATE), por lo que 'actualizado_en' es semánticamente más correcto que 'created_at' — se recomienda adoptar este nombre en el diseño.</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4. vec.ticket_embeddings — tabla no documentada</w:t>
      </w:r>
    </w:p>
    <w:p>
      <w:pPr>
        <w:spacing w:after="120" w:line="276"/>
      </w:pPr>
      <w:r>
        <w:rPr>
          <w:rFonts w:ascii="Calibri" w:cs="Calibri" w:eastAsia="Calibri" w:hAnsi="Calibri"/>
          <w:color w:val="2B2B2B"/>
          <w:sz w:val="22"/>
          <w:szCs w:val="22"/>
        </w:rPr>
        <w:t xml:space="preserve">Esta tabla es consumida en producción por normalizer.py (procesar_triage) y está cubierta por la suite de pruebas KC-ONB-02-5, pero no aparece en el Modelo de Base de Datos de Fase 1. Columnas reales, según vectores.py:</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2600"/>
        <w:gridCol w:w="5800"/>
      </w:tblGrid>
      <w:tr>
        <w:trPr>
          <w:tblHeader/>
        </w:trPr>
        <w:tc>
          <w:tcPr>
            <w:tcW w:type="dxa" w:w="2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Columna</w:t>
            </w:r>
          </w:p>
        </w:tc>
        <w:tc>
          <w:tcPr>
            <w:tcW w:type="dxa" w:w="5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ticket_id (PK/UNIQUE)</w:t>
            </w:r>
          </w:p>
        </w:tc>
        <w:tc>
          <w:tcPr>
            <w:tcW w:type="dxa" w:w="5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Referencia al ticket interno (core.tickets); usada como clave de conflicto en el upsert (ON CONFLICT (ticket_id)).</w:t>
            </w:r>
          </w:p>
        </w:tc>
      </w:tr>
      <w:tr>
        <w:tc>
          <w:tcPr>
            <w:tcW w:type="dxa" w:w="2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tenant_id</w:t>
            </w:r>
          </w:p>
        </w:tc>
        <w:tc>
          <w:tcPr>
            <w:tcW w:type="dxa" w:w="5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Tenant propietario del ticket, para aislamiento RLS.</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embedding (vector)</w:t>
            </w:r>
          </w:p>
        </w:tc>
        <w:tc>
          <w:tcPr>
            <w:tcW w:type="dxa" w:w="5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Embedding semántico del ticket (título + descripción), generado por BGE-M3, usado para deduplicación vectorial en Triage.</w:t>
            </w:r>
          </w:p>
        </w:tc>
      </w:tr>
      <w:tr>
        <w:tc>
          <w:tcPr>
            <w:tcW w:type="dxa" w:w="2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modelo_embedding</w:t>
            </w:r>
          </w:p>
        </w:tc>
        <w:tc>
          <w:tcPr>
            <w:tcW w:type="dxa" w:w="5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Identificador del modelo usado (por defecto 'bge-m3').</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texto_hash</w:t>
            </w:r>
          </w:p>
        </w:tc>
        <w:tc>
          <w:tcPr>
            <w:tcW w:type="dxa" w:w="5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Hash del contenido origen, usado para decidir si el upsert debe escribir o puede omitirse (idempotencia, RF-17).</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5. Tablas de core usadas por la ingesta, no documentadas en Fase 1</w:t>
      </w:r>
    </w:p>
    <w:p>
      <w:pPr>
        <w:spacing w:after="120" w:line="276"/>
      </w:pPr>
      <w:r>
        <w:rPr>
          <w:rFonts w:ascii="Calibri" w:cs="Calibri" w:eastAsia="Calibri" w:hAnsi="Calibri"/>
          <w:color w:val="2B2B2B"/>
          <w:sz w:val="22"/>
          <w:szCs w:val="22"/>
        </w:rPr>
        <w:t xml:space="preserve">El Modelo de Base de Datos de Fase 1 documenta core.tenants y core.jobs como las entidades centrales del esquema core. El normalizador de ingesta real (normalizer.py) opera sobre un conjunto de tablas distinto, orientado a webhooks y tickets, que no aparece en ese diccionario de datos:</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2000"/>
        <w:gridCol w:w="3000"/>
        <w:gridCol w:w="3400"/>
      </w:tblGrid>
      <w:tr>
        <w:trPr>
          <w:tblHeader/>
        </w:trPr>
        <w:tc>
          <w:tcPr>
            <w:tcW w:type="dxa" w:w="2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Tabla real</w:t>
            </w:r>
          </w:p>
        </w:tc>
        <w:tc>
          <w:tcPr>
            <w:tcW w:type="dxa" w:w="3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Uso observado en el código</w:t>
            </w:r>
          </w:p>
        </w:tc>
        <w:tc>
          <w:tcPr>
            <w:tcW w:type="dxa" w:w="3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Columnas identificadas en el código</w:t>
            </w:r>
          </w:p>
        </w:tc>
      </w:tr>
      <w:tr>
        <w:tc>
          <w:tcPr>
            <w:tcW w:type="dxa" w:w="2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core.organizations</w:t>
            </w:r>
          </w:p>
        </w:tc>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Entidad tenant usada en las fixtures de prueba (dos_tenants); registros de prueba con prefijo org_test_.</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Estructura exacta no confirmada en este alcance — se recomienda que Anderson la documente formalmente, ya que no se tuvo a la vista el DDL que la crea.</w:t>
            </w:r>
          </w:p>
        </w:tc>
      </w:tr>
      <w:tr>
        <w:tc>
          <w:tcPr>
            <w:tcW w:type="dxa" w:w="2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core.webhook_inbox</w:t>
            </w:r>
          </w:p>
        </w:tc>
        <w:tc>
          <w:tcPr>
            <w:tcW w:type="dxa" w:w="3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Cola de eventos entrantes (Jira, GitHub, Help, Corestream, CI) antes de normalizarse a ticket interno.</w:t>
            </w:r>
          </w:p>
        </w:tc>
        <w:tc>
          <w:tcPr>
            <w:tcW w:type="dxa" w:w="3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id, tenant_id, evento, payload (jsonb), estado ('pendiente' | 'procesado' | 'ignorado' | 'fallido'), procesado_en, ticket_id.</w:t>
            </w:r>
          </w:p>
        </w:tc>
      </w:tr>
      <w:tr>
        <w:tc>
          <w:tcPr>
            <w:tcW w:type="dxa" w:w="2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core.tickets</w:t>
            </w:r>
          </w:p>
        </w:tc>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Ticket interno normalizado, entidad central del pipeline de Triage en adelante.</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id, tenant_id, numero, tipo, titulo, descripcion, prioridad, etapa (estado del pipeline), origen, origen_ref (jsonb), usuario_final (jsonb).</w:t>
            </w:r>
          </w:p>
        </w:tc>
      </w:tr>
    </w:tbl>
    <w:p>
      <w:pPr>
        <w:spacing w:after="120" w:line="276"/>
      </w:pPr>
      <w:r>
        <w:rPr>
          <w:rFonts w:ascii="Calibri" w:cs="Calibri" w:eastAsia="Calibri" w:hAnsi="Calibri"/>
          <w:color w:val="2B2B2B"/>
          <w:sz w:val="22"/>
          <w:szCs w:val="22"/>
        </w:rPr>
        <w:t xml:space="preserve">Nota: core.tickets usa la columna etapa para el estado del pipeline (valores observados: triage, en_cola_por_cuota, entre otros), mientras que el diseño de Fase 1 modela ese mismo concepto como estado en core.jobs con una lista cerrada de 16 valores (creado, triage, design, ... completado). No queda claro, a partir del código revisado, si core.jobs y core.tickets son la misma entidad con nombres distintos en distintas etapas del proyecto, o si son dos tablas paralelas. Se recomienda que el equipo lo aclare explícitamente en el próximo ADR.</w:t>
      </w:r>
    </w:p>
    <w:p>
      <w:pPr>
        <w:pStyle w:val="Heading1"/>
        <w:pBdr>
          <w:bottom w:val="single" w:color="1E2761" w:sz="12" w:space="4"/>
        </w:pBdr>
        <w:spacing w:after="160" w:before="360"/>
      </w:pPr>
      <w:r>
        <w:rPr>
          <w:rFonts w:ascii="Cambria" w:cs="Cambria" w:eastAsia="Cambria" w:hAnsi="Cambria"/>
          <w:b/>
          <w:bCs/>
          <w:color w:val="1E2761"/>
          <w:sz w:val="30"/>
          <w:szCs w:val="30"/>
        </w:rPr>
        <w:t xml:space="preserve">6. Hallazgo de seguridad: ausencia de rol de login sin bypass de RLS</w:t>
      </w:r>
    </w:p>
    <w:p>
      <w:pPr>
        <w:spacing w:after="120" w:line="276"/>
      </w:pPr>
      <w:r>
        <w:rPr>
          <w:rFonts w:ascii="Calibri" w:cs="Calibri" w:eastAsia="Calibri" w:hAnsi="Calibri"/>
          <w:color w:val="2B2B2B"/>
          <w:sz w:val="22"/>
          <w:szCs w:val="22"/>
        </w:rPr>
        <w:t xml:space="preserve">El script DDL del Modelo de Base de Datos de Fase 1 habilita y fuerza RLS correctamente sobre todas las tablas de core, cm, vec y audit, con una política genérica tenant_isolation_policy basada en current_setting('app.tenant_id'). Sin embargo, el DDL no crea ningún rol de base de datos con privilegio de LOGIN para conectarse a la base bajo esa política. En la práctica, todo el entorno de desarrollo del equipo conectaba como el superusuario postgres, que tiene Bypass RLS por diseño de PostgreSQL — por lo que, hasta este hallazgo, ninguna prueba había ejercitado realmente las políticas RLS definidas en este documento.</w:t>
      </w:r>
    </w:p>
    <w:p>
      <w:pPr>
        <w:spacing w:after="120" w:line="276"/>
      </w:pPr>
      <w:r>
        <w:rPr>
          <w:rFonts w:ascii="Calibri" w:cs="Calibri" w:eastAsia="Calibri" w:hAnsi="Calibri"/>
          <w:color w:val="2B2B2B"/>
          <w:sz w:val="22"/>
          <w:szCs w:val="22"/>
        </w:rPr>
        <w:t xml:space="preserve">Este hallazgo (DEF-01 en Resultados de las Pruebas de KC-ONB-02-5) se corrigió con un seed adicional, no incluido en el DDL original:</w:t>
      </w:r>
    </w:p>
    <w:p>
      <w:pPr>
        <w:shd w:fill="121A47" w:color="auto" w:val="clear"/>
        <w:spacing w:after="0" w:before="100"/>
      </w:pPr>
      <w:r>
        <w:rPr>
          <w:rFonts w:ascii="Consolas" w:cs="Consolas" w:eastAsia="Consolas" w:hAnsi="Consolas"/>
          <w:color w:val="B7F7C8"/>
          <w:sz w:val="18"/>
          <w:szCs w:val="18"/>
        </w:rPr>
        <w:t xml:space="preserve">-- db/seeds/dev_role.sql (nuevo, Fase 2)</w:t>
      </w:r>
    </w:p>
    <w:p>
      <w:pPr>
        <w:shd w:fill="121A47" w:color="auto" w:val="clear"/>
        <w:spacing w:after="0" w:before="0"/>
      </w:pPr>
      <w:r>
        <w:rPr>
          <w:rFonts w:ascii="Consolas" w:cs="Consolas" w:eastAsia="Consolas" w:hAnsi="Consolas"/>
          <w:color w:val="B7F7C8"/>
          <w:sz w:val="18"/>
          <w:szCs w:val="18"/>
        </w:rPr>
        <w:t xml:space="preserve">DO $$</w:t>
      </w:r>
    </w:p>
    <w:p>
      <w:pPr>
        <w:shd w:fill="121A47" w:color="auto" w:val="clear"/>
        <w:spacing w:after="0" w:before="0"/>
      </w:pPr>
      <w:r>
        <w:rPr>
          <w:rFonts w:ascii="Consolas" w:cs="Consolas" w:eastAsia="Consolas" w:hAnsi="Consolas"/>
          <w:color w:val="B7F7C8"/>
          <w:sz w:val="18"/>
          <w:szCs w:val="18"/>
        </w:rPr>
        <w:t xml:space="preserve">BEGIN</w:t>
      </w:r>
    </w:p>
    <w:p>
      <w:pPr>
        <w:shd w:fill="121A47" w:color="auto" w:val="clear"/>
        <w:spacing w:after="0" w:before="0"/>
      </w:pPr>
      <w:r>
        <w:rPr>
          <w:rFonts w:ascii="Consolas" w:cs="Consolas" w:eastAsia="Consolas" w:hAnsi="Consolas"/>
          <w:color w:val="B7F7C8"/>
          <w:sz w:val="18"/>
          <w:szCs w:val="18"/>
        </w:rPr>
        <w:t xml:space="preserve">  IF NOT EXISTS (SELECT FROM pg_roles WHERE rolname = 'kallicode_dev') THEN</w:t>
      </w:r>
    </w:p>
    <w:p>
      <w:pPr>
        <w:shd w:fill="121A47" w:color="auto" w:val="clear"/>
        <w:spacing w:after="0" w:before="0"/>
      </w:pPr>
      <w:r>
        <w:rPr>
          <w:rFonts w:ascii="Consolas" w:cs="Consolas" w:eastAsia="Consolas" w:hAnsi="Consolas"/>
          <w:color w:val="B7F7C8"/>
          <w:sz w:val="18"/>
          <w:szCs w:val="18"/>
        </w:rPr>
        <w:t xml:space="preserve">    CREATE ROLE kallicode_dev LOGIN PASSWORD 'dev' IN ROLE kallicode_app;</w:t>
      </w:r>
    </w:p>
    <w:p>
      <w:pPr>
        <w:shd w:fill="121A47" w:color="auto" w:val="clear"/>
        <w:spacing w:after="0" w:before="0"/>
      </w:pPr>
      <w:r>
        <w:rPr>
          <w:rFonts w:ascii="Consolas" w:cs="Consolas" w:eastAsia="Consolas" w:hAnsi="Consolas"/>
          <w:color w:val="B7F7C8"/>
          <w:sz w:val="18"/>
          <w:szCs w:val="18"/>
        </w:rPr>
        <w:t xml:space="preserve">  END IF;</w:t>
      </w:r>
    </w:p>
    <w:p>
      <w:pPr>
        <w:shd w:fill="121A47" w:color="auto" w:val="clear"/>
        <w:spacing w:after="0" w:before="0"/>
      </w:pPr>
      <w:r>
        <w:rPr>
          <w:rFonts w:ascii="Consolas" w:cs="Consolas" w:eastAsia="Consolas" w:hAnsi="Consolas"/>
          <w:color w:val="B7F7C8"/>
          <w:sz w:val="18"/>
          <w:szCs w:val="18"/>
        </w:rPr>
        <w:t xml:space="preserve">END</w:t>
      </w:r>
    </w:p>
    <w:p>
      <w:pPr>
        <w:shd w:fill="121A47" w:color="auto" w:val="clear"/>
        <w:spacing w:after="100" w:before="0"/>
      </w:pPr>
      <w:r>
        <w:rPr>
          <w:rFonts w:ascii="Consolas" w:cs="Consolas" w:eastAsia="Consolas" w:hAnsi="Consolas"/>
          <w:color w:val="B7F7C8"/>
          <w:sz w:val="18"/>
          <w:szCs w:val="18"/>
        </w:rPr>
        <w:t xml:space="preserve">$$;</w:t>
      </w:r>
    </w:p>
    <w:p>
      <w:pPr>
        <w:spacing w:after="120" w:line="276"/>
      </w:pPr>
      <w:r>
        <w:rPr>
          <w:rFonts w:ascii="Calibri" w:cs="Calibri" w:eastAsia="Calibri" w:hAnsi="Calibri"/>
          <w:color w:val="2B2B2B"/>
          <w:sz w:val="22"/>
          <w:szCs w:val="22"/>
        </w:rPr>
        <w:t xml:space="preserve">Se recomienda incorporar este rol (o un equivalente) directamente al DDL maestro del Modelo de Base de Datos, para que cualquier entorno nuevo del equipo quede, por defecto, en condiciones de probar RLS realmente — y no dependa de que cada integrante lo descubra por su cuenta.</w:t>
      </w:r>
    </w:p>
    <w:p>
      <w:pPr>
        <w:pStyle w:val="Heading1"/>
        <w:pBdr>
          <w:bottom w:val="single" w:color="1E2761" w:sz="12" w:space="4"/>
        </w:pBdr>
        <w:spacing w:after="160" w:before="360"/>
      </w:pPr>
      <w:r>
        <w:rPr>
          <w:rFonts w:ascii="Cambria" w:cs="Cambria" w:eastAsia="Cambria" w:hAnsi="Cambria"/>
          <w:b/>
          <w:bCs/>
          <w:color w:val="1E2761"/>
          <w:sz w:val="30"/>
          <w:szCs w:val="30"/>
        </w:rPr>
        <w:t xml:space="preserve">7. Recomendaciones de reconciliación</w:t>
      </w:r>
    </w:p>
    <w:p>
      <w:pPr>
        <w:pStyle w:val="ListParagraph"/>
        <w:numPr>
          <w:ilvl w:val="0"/>
          <w:numId w:val="2"/>
        </w:numPr>
        <w:spacing w:after="80"/>
      </w:pPr>
      <w:r>
        <w:rPr>
          <w:rFonts w:ascii="Calibri" w:cs="Calibri" w:eastAsia="Calibri" w:hAnsi="Calibri"/>
          <w:b w:val="false"/>
          <w:bCs w:val="false"/>
          <w:color w:val="2B2B2B"/>
          <w:sz w:val="22"/>
          <w:szCs w:val="22"/>
        </w:rPr>
        <w:t xml:space="preserve">Actualizar el Modelo de Base de Datos de Fase 1 (o su próxima versión) con las columnas reales de vec.definition_embeddings y la tabla vec.ticket_embeddings completa.</w:t>
      </w:r>
    </w:p>
    <w:p>
      <w:pPr>
        <w:pStyle w:val="ListParagraph"/>
        <w:numPr>
          <w:ilvl w:val="0"/>
          <w:numId w:val="2"/>
        </w:numPr>
        <w:spacing w:after="80"/>
      </w:pPr>
      <w:r>
        <w:rPr>
          <w:rFonts w:ascii="Calibri" w:cs="Calibri" w:eastAsia="Calibri" w:hAnsi="Calibri"/>
          <w:b w:val="false"/>
          <w:bCs w:val="false"/>
          <w:color w:val="2B2B2B"/>
          <w:sz w:val="22"/>
          <w:szCs w:val="22"/>
        </w:rPr>
        <w:t xml:space="preserve">Documentar formalmente core.organizations, core.webhook_inbox y core.tickets en el diccionario de datos, idealmente a cargo de Anderson González como responsable del esquema.</w:t>
      </w:r>
    </w:p>
    <w:p>
      <w:pPr>
        <w:pStyle w:val="ListParagraph"/>
        <w:numPr>
          <w:ilvl w:val="0"/>
          <w:numId w:val="2"/>
        </w:numPr>
        <w:spacing w:after="80"/>
      </w:pPr>
      <w:r>
        <w:rPr>
          <w:rFonts w:ascii="Calibri" w:cs="Calibri" w:eastAsia="Calibri" w:hAnsi="Calibri"/>
          <w:b w:val="false"/>
          <w:bCs w:val="false"/>
          <w:color w:val="2B2B2B"/>
          <w:sz w:val="22"/>
          <w:szCs w:val="22"/>
        </w:rPr>
        <w:t xml:space="preserve">Aclarar en un ADR si core.jobs (diseño) y core.tickets (implementación) son la misma entidad renombrada o dos conceptos distintos del pipeline.</w:t>
      </w:r>
    </w:p>
    <w:p>
      <w:pPr>
        <w:pStyle w:val="ListParagraph"/>
        <w:numPr>
          <w:ilvl w:val="0"/>
          <w:numId w:val="2"/>
        </w:numPr>
        <w:spacing w:after="80"/>
      </w:pPr>
      <w:r>
        <w:rPr>
          <w:rFonts w:ascii="Calibri" w:cs="Calibri" w:eastAsia="Calibri" w:hAnsi="Calibri"/>
          <w:b w:val="false"/>
          <w:bCs w:val="false"/>
          <w:color w:val="2B2B2B"/>
          <w:sz w:val="22"/>
          <w:szCs w:val="22"/>
        </w:rPr>
        <w:t xml:space="preserve">Incorporar la creación del rol kallicode_dev (o equivalente) al DDL maestro, no solo como seed de desarrollo aislado.</w:t>
      </w:r>
    </w:p>
    <w:p>
      <w:pPr>
        <w:pStyle w:val="ListParagraph"/>
        <w:numPr>
          <w:ilvl w:val="0"/>
          <w:numId w:val="2"/>
        </w:numPr>
        <w:spacing w:after="80"/>
      </w:pPr>
      <w:r>
        <w:rPr>
          <w:rFonts w:ascii="Calibri" w:cs="Calibri" w:eastAsia="Calibri" w:hAnsi="Calibri"/>
          <w:b w:val="false"/>
          <w:bCs w:val="false"/>
          <w:color w:val="2B2B2B"/>
          <w:sz w:val="22"/>
          <w:szCs w:val="22"/>
        </w:rPr>
        <w:t xml:space="preserve">Una vez reconciliado, actualizar también el Diagrama de Clases y el Modelo de Base de Datos (diagramas) para que reflejen el esquema real verificado.</w:t>
      </w:r>
    </w:p>
    <w:sectPr>
      <w:headerReference w:type="default" r:id="rId7"/>
      <w:footerReference w:type="default" r:id="rId8"/>
      <w:pgSz w:w="12240" w:h="15840"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E96"/>
        <w:sz w:val="16"/>
        <w:szCs w:val="16"/>
      </w:rPr>
      <w:t xml:space="preserve">KalliCode Platform — Documento interno de equipo · Página </w:t>
    </w:r>
    <w:r>
      <w:rPr>
        <w:rFonts w:ascii="Calibri" w:cs="Calibri" w:eastAsia="Calibri" w:hAnsi="Calibri"/>
        <w:color w:val="7A7E96"/>
        <w:sz w:val="16"/>
        <w:szCs w:val="16"/>
      </w:rPr>
      <w:fldChar w:fldCharType="begin"/>
      <w:instrText xml:space="preserve">PAGE</w:instrText>
      <w:fldChar w:fldCharType="separate"/>
      <w:fldChar w:fldCharType="end"/>
    </w:r>
    <w:r>
      <w:rPr>
        <w:rFonts w:ascii="Calibri" w:cs="Calibri" w:eastAsia="Calibri" w:hAnsi="Calibri"/>
        <w:color w:val="7A7E96"/>
        <w:sz w:val="16"/>
        <w:szCs w:val="16"/>
      </w:rPr>
      <w:t xml:space="preserve"> de </w:t>
    </w:r>
    <w:r>
      <w:rPr>
        <w:rFonts w:ascii="Calibri" w:cs="Calibri" w:eastAsia="Calibri" w:hAnsi="Calibri"/>
        <w:color w:val="7A7E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Calibri" w:cs="Calibri" w:eastAsia="Calibri" w:hAnsi="Calibri"/>
        <w:b/>
        <w:bCs/>
        <w:color w:val="1E2761"/>
        <w:sz w:val="16"/>
        <w:szCs w:val="16"/>
      </w:rPr>
      <w:t xml:space="preserve">KalliCode Platform · Addendum Modelo de BD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E27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2026-10-10T01:43:35.886Z</dcterms:created>
  <dcterms:modified xsi:type="dcterms:W3CDTF">2026-10-10T01:43:35.886Z</dcterms:modified>
</cp:coreProperties>
</file>

<file path=docProps/custom.xml><?xml version="1.0" encoding="utf-8"?>
<Properties xmlns="http://schemas.openxmlformats.org/officeDocument/2006/custom-properties" xmlns:vt="http://schemas.openxmlformats.org/officeDocument/2006/docPropsVTypes"/>
</file>