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mbria" w:hAnsi="Cambria"/>
          <w:b/>
          <w:color w:val="1F2666"/>
          <w:sz w:val="68"/>
        </w:rPr>
        <w:t>KALLICODE</w:t>
      </w:r>
    </w:p>
    <w:p>
      <w:pPr>
        <w:jc w:val="center"/>
      </w:pPr>
      <w:r>
        <w:rPr>
          <w:b/>
          <w:color w:val="B08D57"/>
          <w:sz w:val="22"/>
        </w:rPr>
        <w:t>PLATFORM · PORTAFOLIO DE TÍTULO</w:t>
      </w:r>
    </w:p>
    <w:p>
      <w:pPr>
        <w:jc w:val="center"/>
      </w:pPr>
      <w:r>
        <w:rPr>
          <w:rFonts w:ascii="Cambria" w:hAnsi="Cambria"/>
          <w:b/>
          <w:color w:val="1F2666"/>
          <w:sz w:val="48"/>
        </w:rPr>
        <w:t>Addendum — Modelo de Base de Datos</w:t>
      </w:r>
    </w:p>
    <w:p>
      <w:pPr>
        <w:jc w:val="center"/>
      </w:pPr>
      <w:r>
        <w:rPr>
          <w:i/>
          <w:sz w:val="22"/>
        </w:rPr>
        <w:t>Desfase diseño (Fase 1) vs. implementación verificada (Fase 2, KC-ONB-02-5), reconciliado contra el repositorio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KalliCode Platform: Fusión CodeMapping y Fábrica de Producción (E1+E2)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Documento base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Modelo de Base de Datos y Diccionario Técnico — KalliCode Platform.docx (Fase 1, Anderson González)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Este documento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Addendum de Fase 2 — Desfase Diseño vs. Implementación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1.1 (reemplaza a la 1.0 del 09-10-2026)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17-10-2026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Francisco Salinas (v1.0)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Revisado y actualizado por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Anderson González (v1.1): verificación contra el esquema y el código reales del repositorio</w:t>
            </w:r>
          </w:p>
        </w:tc>
      </w:tr>
      <w:tr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Base de la verificación</w:t>
            </w:r>
          </w:p>
        </w:tc>
        <w:tc>
          <w:tcPr>
            <w:tcW w:type="dxa" w:w="7030"/>
          </w:tcPr>
          <w:p>
            <w:pPr>
              <w:spacing w:after="40" w:line="240" w:lineRule="auto"/>
            </w:pPr>
            <w:r>
              <w:rPr>
                <w:sz w:val="19"/>
              </w:rPr>
              <w:t>Repositorio kallicode-backend, rama fix/e2-kc-db-06-2-indices-tenant-first (commit 850841c), con migraciones hasta la 032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2" w:space="1" w:color="1F2666"/>
        </w:pBdr>
      </w:pPr>
      <w:r>
        <w:t>1. Propósito de este addendum</w:t>
      </w:r>
    </w:p>
    <w:p>
      <w:r>
        <w:rPr>
          <w:i w:val="0"/>
        </w:rPr>
        <w:t>El documento original Modelo de Base de Datos y Diccionario Técnico (Fase 1, elaborado por Anderson González) especifica el diseño relacional de referencia de KalliCode Platform. Durante la implementación y prueba del ticket KC-ONB-02-5, el código real de la capa vectorial (packages/core/src/kallicode_core/vectores.py) y del normalizador de ingesta (apps/workers/src/kallicode_workers/normalizer.py) se comparó contra ese diseño y se encontraron diferencias de nombres de columnas, tablas no documentadas y un posible vacío de seguridad en el DDL original. Este addendum registra ese desfase sin modificar el documento original.</w:t>
      </w:r>
    </w:p>
    <w:p>
      <w:r>
        <w:rPr>
          <w:i w:val="0"/>
        </w:rPr>
        <w:t>La versión 1.1 contrasta además cada afirmación de la versión 1.0 con el esquema vigente (db/01_schema.sql, db/00_roles.sql, db/04_rls.sql y las migraciones). Como resultado, se corrigen dos afirmaciones que dejaron de ser ciertas y se completan los datos que la versión 1.0 marcaba como no confirmados. Cada hallazgo indica su estado: Resuelto en el repositorio o Abierto (requiere una acción del equipo).</w:t>
      </w:r>
    </w:p>
    <w:p>
      <w:pPr>
        <w:pStyle w:val="Heading1"/>
        <w:pBdr>
          <w:bottom w:val="single" w:sz="12" w:space="1" w:color="1F2666"/>
        </w:pBdr>
      </w:pPr>
      <w:r>
        <w:t>2. Resumen del hallazgo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83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835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020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</w:tr>
      <w:tr>
        <w:tc>
          <w:tcPr>
            <w:tcW w:type="dxa" w:w="5783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vec.definition_embeddings usa nombres de columna distintos a los del diseño de Fase 1.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sz w:val="19"/>
              </w:rPr>
              <w:t>Abierto: documentar en el modelo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5783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vec.definition_embeddings.nodo_ref tiene integridad referencial: FK compuesta a cm.nodes (migración 022).</w:t>
            </w:r>
          </w:p>
        </w:tc>
        <w:tc>
          <w:tcPr>
            <w:tcW w:type="dxa" w:w="2835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Resuelto en el repositorio</w:t>
            </w:r>
          </w:p>
        </w:tc>
        <w:tc>
          <w:tcPr>
            <w:tcW w:type="dxa" w:w="1020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5783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vec.ticket_embeddings existe y está en uso, pero no figura en el modelo de Fase 1.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sz w:val="19"/>
              </w:rPr>
              <w:t>Abierto: documentar en el modelo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5783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core.organizations, core.webhook_inbox y core.tickets (usadas por la ingesta) no figuran en el diccionario de Fase 1, que documenta core.tenants y core.jobs.</w:t>
            </w:r>
          </w:p>
        </w:tc>
        <w:tc>
          <w:tcPr>
            <w:tcW w:type="dxa" w:w="2835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Abierto: documentar en el modelo</w:t>
            </w:r>
          </w:p>
        </w:tc>
        <w:tc>
          <w:tcPr>
            <w:tcW w:type="dxa" w:w="1020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5783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core.jobs y core.tickets son tablas distintas y complementarias, no una entidad renombrada.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sz w:val="19"/>
              </w:rPr>
              <w:t>Aclarado; falta formalizar en un ADR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>
              <w:rPr>
                <w:sz w:val="19"/>
              </w:rPr>
              <w:t>5.4</w:t>
            </w:r>
          </w:p>
        </w:tc>
      </w:tr>
      <w:tr>
        <w:tc>
          <w:tcPr>
            <w:tcW w:type="dxa" w:w="5783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Rol de login sin privilegio de superusuario ni BYPASSRLS para probar RLS.</w:t>
            </w:r>
          </w:p>
        </w:tc>
        <w:tc>
          <w:tcPr>
            <w:tcW w:type="dxa" w:w="2835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Resuelto en el repositorio (db/00_roles.sql)</w:t>
            </w:r>
          </w:p>
        </w:tc>
        <w:tc>
          <w:tcPr>
            <w:tcW w:type="dxa" w:w="1020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5783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db/seeds/dev_role.sql quedó redundante y con la cabecera desactualizada.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sz w:val="19"/>
              </w:rPr>
              <w:t>Abierto: retirar o actualizar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>
              <w:rPr>
                <w:sz w:val="19"/>
              </w:rPr>
              <w:t>6.3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2" w:space="1" w:color="1F2666"/>
        </w:pBdr>
      </w:pPr>
      <w:r>
        <w:t>3. vec.definition_embeddings — diseño vs. implementación</w:t>
      </w:r>
    </w:p>
    <w:p>
      <w:r>
        <w:rPr>
          <w:i w:val="0"/>
        </w:rPr>
        <w:t>Se compara el diseño de Fase 1 con la definición vigente (db/01_schema.sql más las migraciones 001 y 022) y con vectores.py.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Campo en el diseño (Fase 1)</w:t>
            </w:r>
          </w:p>
        </w:tc>
        <w:tc>
          <w:tcPr>
            <w:tcW w:type="dxa" w:w="260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Campo real</w:t>
            </w:r>
          </w:p>
        </w:tc>
        <w:tc>
          <w:tcPr>
            <w:tcW w:type="dxa" w:w="4762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embedding_id (PK)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  <w:t>id (PK, text, formato de_&lt;ulid&gt;)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>
              <w:rPr>
                <w:sz w:val="19"/>
              </w:rPr>
              <w:t>Mismo propósito, nombre distinto.</w:t>
            </w:r>
          </w:p>
        </w:tc>
      </w:tr>
      <w:tr>
        <w:tc>
          <w:tcPr>
            <w:tcW w:type="dxa" w:w="2268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def_id (FK a cm.definitions)</w:t>
            </w:r>
          </w:p>
        </w:tc>
        <w:tc>
          <w:tcPr>
            <w:tcW w:type="dxa" w:w="2608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nodo_ref (text, NOT NULL)</w:t>
            </w:r>
          </w:p>
        </w:tc>
        <w:tc>
          <w:tcPr>
            <w:tcW w:type="dxa" w:w="4762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Desde la migración 022_vec_fk_cm.sql, nodo_ref es FK compuesta (tenant_id, nodo_ref) hacia cm.nodes(tenant_id, id), con ON DELETE CASCADE (restricción de_nodo_fk), y mantiene UNIQUE (tenant_id, nodo_ref). Hay integridad referencial contra el grafo de CodeMapping, pero el destino es cm.nodes y no cm.definitions: una FK no puede apuntar a las seis tablas de tipos de nodo, por lo que cm.nodes las unifica.</w:t>
            </w:r>
          </w:p>
        </w:tc>
      </w:tr>
      <w:tr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— (no existe en el diseño)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  <w:t>capa, nombre, descripcion, modulo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>
              <w:rPr>
                <w:sz w:val="19"/>
              </w:rPr>
              <w:t>Columnas adicionales no contempladas en el diseño de Fase 1. capa guarda el kind del nodo y admite: file, symbol, db_table, db_column, definition y concept (restricción de_capa_chk, migración 022; antes solo definicion, negocio y codigo).</w:t>
            </w:r>
          </w:p>
        </w:tc>
      </w:tr>
      <w:tr>
        <w:tc>
          <w:tcPr>
            <w:tcW w:type="dxa" w:w="2268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— (no existe en el diseño)</w:t>
            </w:r>
          </w:p>
        </w:tc>
        <w:tc>
          <w:tcPr>
            <w:tcW w:type="dxa" w:w="2608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modelo_embedding (text, por defecto 'bge-m3')</w:t>
            </w:r>
          </w:p>
        </w:tc>
        <w:tc>
          <w:tcPr>
            <w:tcW w:type="dxa" w:w="4762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Añadida por la migración 001. Identifica el modelo que generó el vector.</w:t>
            </w:r>
          </w:p>
        </w:tc>
      </w:tr>
      <w:tr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vector (vector(1024))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  <w:t>embedding (vector(1024), NOT NULL)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>
              <w:rPr>
                <w:sz w:val="19"/>
              </w:rPr>
              <w:t>Mismo tipo de dato, nombre de columna distinto.</w:t>
            </w:r>
          </w:p>
        </w:tc>
      </w:tr>
      <w:tr>
        <w:tc>
          <w:tcPr>
            <w:tcW w:type="dxa" w:w="2268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contenido_hash</w:t>
            </w:r>
          </w:p>
        </w:tc>
        <w:tc>
          <w:tcPr>
            <w:tcW w:type="dxa" w:w="2608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texto_hash (text, NOT NULL)</w:t>
            </w:r>
          </w:p>
        </w:tc>
        <w:tc>
          <w:tcPr>
            <w:tcW w:type="dxa" w:w="4762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Mismo propósito (evitar recálculo: no se reescribe la fila si el hash no cambió). Añadida por la migración 001.</w:t>
            </w:r>
          </w:p>
        </w:tc>
      </w:tr>
      <w:tr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created_at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  <w:t>actualizado_en (timestamptz, por defecto now())</w:t>
            </w:r>
          </w:p>
        </w:tc>
        <w:tc>
          <w:tcPr>
            <w:tcW w:type="dxa" w:w="4762"/>
          </w:tcPr>
          <w:p>
            <w:pPr>
              <w:spacing w:after="40" w:line="240" w:lineRule="auto"/>
            </w:pPr>
            <w:r>
              <w:rPr>
                <w:sz w:val="19"/>
              </w:rPr>
              <w:t>Se actualiza en cada upsert (ON CONFLICT (tenant_id, nodo_ref) DO UPDATE), por lo que actualizado_en es semánticamente más correcto que created_at. Se recomienda adoptar este nombre en el diseño.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2" w:space="1" w:color="1F2666"/>
        </w:pBdr>
      </w:pPr>
      <w:r>
        <w:t>4. vec.ticket_embeddings — tabla no documentada</w:t>
      </w:r>
    </w:p>
    <w:p>
      <w:r>
        <w:rPr>
          <w:i w:val="0"/>
        </w:rPr>
        <w:t>Esta tabla es consumida por normalizer.py (procesar_triage) y por vectores.py, y está cubierta por la suite de pruebas de KC-ONB-02-5, pero no aparece en el Modelo de Base de Datos de Fase 1. Columnas reales, según db/01_schema.sql: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7143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ticket_id (PK)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Referencia al ticket interno (core.tickets, ON DELETE CASCADE). Es la clave primaria y la clave de conflicto del upsert (ON CONFLICT (ticket_id)).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tenant_id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Tenant propietario del ticket, para aislamiento RLS (referencia a core.organizations).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embedding (vector(1024))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Embedding semántico del ticket (título + descripción), generado por BGE-M3 y usado para deduplicación vectorial en Triage.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modelo_embedding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Identificador del modelo usado (por defecto 'bge-m3').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texto_hash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Hash del contenido origen, usado para decidir si el upsert debe escribir o puede omitirse (idempotencia, RF-17).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creado_en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Fecha de creación de la fila (timestamptz, por defecto now()).</w:t>
            </w:r>
          </w:p>
        </w:tc>
      </w:tr>
    </w:tbl>
    <w:p>
      <w:pPr>
        <w:spacing w:after="40"/>
      </w:pPr>
    </w:p>
    <w:p>
      <w:r>
        <w:rPr>
          <w:i w:val="0"/>
        </w:rPr>
        <w:t>Nota: el upsert de esta tabla solo actualiza embedding, modelo_embedding y texto_hash; creado_en conserva la fecha de la primera inserción, a diferencia de definition_embeddings, que sí actualiza actualizado_en.</w:t>
      </w:r>
    </w:p>
    <w:p>
      <w:pPr>
        <w:pStyle w:val="Heading1"/>
        <w:pBdr>
          <w:bottom w:val="single" w:sz="12" w:space="1" w:color="1F2666"/>
        </w:pBdr>
      </w:pPr>
      <w:r>
        <w:t>5. Tablas de core usadas por la ingesta, no documentadas en Fase 1</w:t>
      </w:r>
    </w:p>
    <w:p>
      <w:r>
        <w:rPr>
          <w:i w:val="0"/>
        </w:rPr>
        <w:t>El modelo de Fase 1 documenta core.tenants y core.jobs como entidades centrales del esquema core. En el esquema vigente la tabla de tenants se llama core.organizations (no existe core.tenants), y el normalizador opera sobre un conjunto de tablas orientado a webhooks y tickets que el diccionario de Fase 1 no recoge.</w:t>
      </w:r>
    </w:p>
    <w:p>
      <w:pPr>
        <w:pStyle w:val="Heading2"/>
      </w:pPr>
      <w:r>
        <w:t>5.1 core.organizations</w:t>
      </w:r>
    </w:p>
    <w:p>
      <w:r>
        <w:rPr>
          <w:i w:val="0"/>
        </w:rPr>
        <w:t>Entidad tenant. Es la raíz del aislamiento: su política RLS filtra por su propio id, no por tenant_id.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7143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id (PK)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formato org_&lt;slug|ulid&gt;. Las fixtures de prueba usan ids con prefijo org_test_.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nombre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text, NOT NULL.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idioma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por defecto 'es'; admite es, en, pt.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timezone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text, por defecto 'Europe/Madrid'.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despliegue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por defecto 'cloud'; admite cloud, hibrido, onprem.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fabrica_activa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boolean, por defecto false: se activa al completar el onboarding.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creado_en / actualizado_en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timestamptz, por defecto now().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eliminado_en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timestamptz nulo: borrado lógico (soft-delete).</w:t>
            </w:r>
          </w:p>
        </w:tc>
      </w:tr>
    </w:tbl>
    <w:p>
      <w:pPr>
        <w:spacing w:after="40"/>
      </w:pPr>
    </w:p>
    <w:p>
      <w:pPr>
        <w:pStyle w:val="Heading2"/>
      </w:pPr>
      <w:r>
        <w:t>5.2 core.webhook_inbox</w:t>
      </w:r>
    </w:p>
    <w:p>
      <w:r>
        <w:rPr>
          <w:i w:val="0"/>
        </w:rPr>
        <w:t>Cola de eventos entrantes (Jira, GitHub, Help, Corestream, CI) antes de normalizarse a un ticket interno.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7143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id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bigint, identidad generada. Forma, junto con recibido_en, la clave primaria (recibido_en, id), pensada para particionar por fecha.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tenant_id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text, NOT NULL, referencia a core.organizations.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connection_id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NOT NULL, referencia a core.connections (ON DELETE CASCADE).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delivery_id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text, NOT NULL. Con connection_id forma una clave única (wi_delivery_uq) que evita procesar dos veces la misma entrega.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evento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nulo.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payload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jsonb, NOT NULL.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estado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por defecto 'pendiente'; admite pendiente, procesado, ignorado y fallido.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error_detalle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text, nulo: motivo cuando el estado es fallido.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ticket_id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nulo, referencia a core.tickets: se completa al normalizar el evento.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recibido_en / procesado_en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timestamptz: recepción (por defecto now()) y fin del procesamiento.</w:t>
            </w:r>
          </w:p>
        </w:tc>
      </w:tr>
    </w:tbl>
    <w:p>
      <w:pPr>
        <w:spacing w:after="40"/>
      </w:pPr>
    </w:p>
    <w:p>
      <w:pPr>
        <w:pStyle w:val="Heading2"/>
      </w:pPr>
      <w:r>
        <w:t>5.3 core.tickets</w:t>
      </w:r>
    </w:p>
    <w:p>
      <w:r>
        <w:rPr>
          <w:i w:val="0"/>
        </w:rPr>
        <w:t>Ticket interno normalizado, entidad central del pipeline de Triage en adelante. Columnas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7143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id (PK)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formato tk_&lt;ulid&gt;.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tenant_id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text, NOT NULL, referencia a core.organizations.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numero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formato KC-#### (lo asigna un trigger); único por tenant (tk_numero_uq).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tipo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text; admite bug, mejora, funcionalidad y seguridad.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titulo / descripcion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NOT NULL.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prioridad / prioridad_pipeline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prioridad declarada (alta, media o baja) y prioridad asignada por Triage (P1 a P4).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etapa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text, por defecto 'triage'. Estado del pipeline; admite 10 valores: triage, design, build, qa, security, deploy, produccion, en_cola_por_cuota, cancelado y cerrado_duplicado.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gate_pendiente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smallint nulo (1, 2 o 3).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origen / origen_ref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origen: portal, jira, github, kallicode_help o corestream; origen_ref (jsonb) guarda el payload o la clave del sistema origen.</w:t>
            </w:r>
          </w:p>
        </w:tc>
      </w:tr>
      <w:tr>
        <w:tc>
          <w:tcPr>
            <w:tcW w:type="dxa" w:w="2494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usuario_final</w:t>
            </w:r>
          </w:p>
        </w:tc>
        <w:tc>
          <w:tcPr>
            <w:tcW w:type="dxa" w:w="7143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jsonb nulo: {id_externo, canal} de Kallicode Help.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otras</w:t>
            </w:r>
          </w:p>
        </w:tc>
        <w:tc>
          <w:tcPr>
            <w:tcW w:type="dxa" w:w="7143"/>
          </w:tcPr>
          <w:p>
            <w:pPr>
              <w:spacing w:after="40" w:line="240" w:lineRule="auto"/>
            </w:pPr>
            <w:r>
              <w:rPr>
                <w:sz w:val="19"/>
              </w:rPr>
              <w:t>reportado_por, modulo_pista, duplicado_de, impacto (jsonb), complejidad, pr_url, fecha_objetivo, motivo_cancelacion, cancelado_por, creado_en, actualizado_en y cerrado_en.</w:t>
            </w:r>
          </w:p>
        </w:tc>
      </w:tr>
    </w:tbl>
    <w:p>
      <w:pPr>
        <w:spacing w:after="40"/>
      </w:pPr>
    </w:p>
    <w:p>
      <w:pPr>
        <w:pStyle w:val="Heading2"/>
      </w:pPr>
      <w:r>
        <w:t>5.4 core.jobs frente a core.tickets</w:t>
      </w:r>
    </w:p>
    <w:p>
      <w:r>
        <w:rPr>
          <w:i w:val="0"/>
        </w:rPr>
        <w:t>La versión 1.0 dejaba abierto si core.jobs y core.tickets eran la misma entidad con nombres distintos. El esquema vigente lo resuelve: son dos tablas distintas, relacionadas por clave foránea.</w:t>
      </w:r>
    </w:p>
    <w:p>
      <w:pPr>
        <w:pStyle w:val="ListBullet"/>
      </w:pPr>
      <w:r>
        <w:rPr>
          <w:b/>
        </w:rPr>
        <w:t xml:space="preserve">Ticket: </w:t>
      </w:r>
      <w:r>
        <w:t>core.tickets representa la solicitud de negocio y su etapa visible (10 valores).</w:t>
      </w:r>
    </w:p>
    <w:p>
      <w:pPr>
        <w:pStyle w:val="ListBullet"/>
      </w:pPr>
      <w:r>
        <w:rPr>
          <w:b/>
        </w:rPr>
        <w:t xml:space="preserve">Job: </w:t>
      </w:r>
      <w:r>
        <w:t>core.jobs representa la ejecución en la fábrica de producción de un ticket. Tiene ticket_id NOT NULL (FK a core.tickets, ON DELETE CASCADE), una línea de producción asignada y un estado más fino de 16 valores (pendiente_asignacion, triage, design, gate1, build, qa, gate2, security, deploy_preflight, gate3, deploy, produccion, pausado_por_cuota, escalado_humano, cancelado y cerrado_duplicado).</w:t>
      </w:r>
    </w:p>
    <w:p>
      <w:pPr>
        <w:pStyle w:val="ListBullet"/>
      </w:pPr>
      <w:r>
        <w:rPr>
          <w:b/>
        </w:rPr>
        <w:t xml:space="preserve">Reglas: </w:t>
      </w:r>
      <w:r>
        <w:t>hay como máximo un job activo por ticket (índice único jobs_activo_por_ticket_uq) y como máximo un job activo por línea de producción (jobs_linea_ocupada_uq).</w:t>
      </w:r>
    </w:p>
    <w:p>
      <w:r>
        <w:rPr>
          <w:i w:val="0"/>
        </w:rPr>
        <w:t>Queda pendiente solo formalizar esta decisión en un ADR (hoy existe únicamente docs/adr/003-pgvector-multi-tenant.md), incluida la correspondencia entre tickets.etapa y jobs.estado.</w:t>
      </w:r>
    </w:p>
    <w:p>
      <w:pPr>
        <w:pStyle w:val="Heading1"/>
        <w:pBdr>
          <w:bottom w:val="single" w:sz="12" w:space="1" w:color="1F2666"/>
        </w:pBdr>
      </w:pPr>
      <w:r>
        <w:t>6. Seguridad: aislamiento por tenant (RLS) y roles de base de datos</w:t>
      </w:r>
    </w:p>
    <w:p>
      <w:pPr>
        <w:pStyle w:val="Heading2"/>
      </w:pPr>
      <w:r>
        <w:t>6.1 Qué cambió respecto de la versión 1.0</w:t>
      </w:r>
    </w:p>
    <w:p>
      <w:r>
        <w:rPr>
          <w:i w:val="0"/>
        </w:rPr>
        <w:t>La versión 1.0 afirmaba que el DDL no creaba ningún rol de login sin privilegio de superusuario, por lo que todo el entorno conectaba como postgres (BYPASSRLS) y ninguna política RLS se ejercitaba. Esa afirmación ya no se cumple en el repositorio: el script db/00_roles.sql (KC-DB-01-5) crea y fija los roles con sus atributos. El hallazgo DEF-01 de KC-ONB-02-5 queda como antecedente histórico; no se pudo verificar en este alcance si era cierto en su momento.</w:t>
      </w:r>
    </w:p>
    <w:p>
      <w:pPr>
        <w:pStyle w:val="Heading2"/>
      </w:pPr>
      <w:r>
        <w:t>6.2 Roles definidos en db/00_roles.sql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35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4876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Atributos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kallicode_app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sz w:val="19"/>
              </w:rPr>
              <w:t>API (apps/api)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sz w:val="19"/>
              </w:rPr>
              <w:t>LOGIN, NOSUPERUSER, NOBYPASSRLS: sujeto a RLS.</w:t>
            </w:r>
          </w:p>
        </w:tc>
      </w:tr>
      <w:tr>
        <w:tc>
          <w:tcPr>
            <w:tcW w:type="dxa" w:w="1928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kallicode_worker</w:t>
            </w:r>
          </w:p>
        </w:tc>
        <w:tc>
          <w:tcPr>
            <w:tcW w:type="dxa" w:w="2835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Workers (apps/workers)</w:t>
            </w:r>
          </w:p>
        </w:tc>
        <w:tc>
          <w:tcPr>
            <w:tcW w:type="dxa" w:w="4876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LOGIN, NOSUPERUSER, NOBYPASSRLS. Ve todos los tenants solo en 5 tablas de cola (webhook_inbox, jobs, refresh_tokens, ticket_attachments, idempotency_keys), mediante la política worker_colas (migración 010).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kallicode_admin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sz w:val="19"/>
              </w:rPr>
              <w:t>Migraciones y soporte; dueño del esquema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sz w:val="19"/>
              </w:rPr>
              <w:t>LOGIN, NOSUPERUSER, BYPASSRLS. Es el único rol que omite RLS.</w:t>
            </w:r>
          </w:p>
        </w:tc>
      </w:tr>
      <w:tr>
        <w:tc>
          <w:tcPr>
            <w:tcW w:type="dxa" w:w="1928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kallicode_dev</w:t>
            </w:r>
          </w:p>
        </w:tc>
        <w:tc>
          <w:tcPr>
            <w:tcW w:type="dxa" w:w="2835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Pruebas de aislamiento RLS</w:t>
            </w:r>
          </w:p>
        </w:tc>
        <w:tc>
          <w:tcPr>
            <w:tcW w:type="dxa" w:w="4876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LOGIN, NOSUPERUSER, NOBYPASSRLS; miembro de kallicode_app. Se crea con: CREATE ROLE kallicode_dev LOGIN IN ROLE kallicode_app.</w:t>
            </w:r>
          </w:p>
        </w:tc>
      </w:tr>
    </w:tbl>
    <w:p>
      <w:pPr>
        <w:spacing w:after="40"/>
      </w:pPr>
    </w:p>
    <w:p>
      <w:r>
        <w:rPr>
          <w:i w:val="0"/>
        </w:rPr>
        <w:t>Política RLS (db/04_rls.sql): para todas las tablas de los esquemas core, vec y audit (salvo los catálogos globales plans y schema_migrations) se ejecutan ENABLE y FORCE ROW LEVEL SECURITY y se crea la política tenant_isolation, con la condición tenant_id = core.current_tenant() tanto en USING como en WITH CHECK. En core.organizations la condición es id = core.current_tenant(). La función core.current_tenant() lee el parámetro de sesión app.tenant_id. El esquema cm aplica la misma política desde la migración 002_esquema_cm.sql.</w:t>
      </w:r>
    </w:p>
    <w:p>
      <w:pPr>
        <w:pStyle w:val="Heading2"/>
      </w:pPr>
      <w:r>
        <w:t>6.3 Seed de desarrollo obsoleto</w:t>
      </w:r>
    </w:p>
    <w:p>
      <w:r>
        <w:rPr>
          <w:i w:val="0"/>
        </w:rPr>
        <w:t>El archivo db/seeds/dev_role.sql (incorporado antes que db/00_roles.sql) sigue en el repositorio: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F2666"/>
          </w:tcPr>
          <w:p>
            <w:pPr>
              <w:spacing w:line="240" w:lineRule="auto"/>
            </w:pPr>
            <w:r>
              <w:rPr>
                <w:rFonts w:ascii="Consolas" w:hAnsi="Consolas"/>
                <w:color w:val="DDE6FF"/>
                <w:sz w:val="17"/>
              </w:rPr>
              <w:t>-- db/seeds/dev_role.sql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>DO $$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>BEGIN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 xml:space="preserve">    IF NOT EXISTS (SELECT FROM pg_roles WHERE rolname = 'kallicode_dev') THEN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 xml:space="preserve">        CREATE ROLE kallicode_dev LOGIN PASSWORD 'dev' IN ROLE kallicode_app;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 xml:space="preserve">    END IF;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>END</w:t>
            </w:r>
            <w:r>
              <w:br/>
            </w:r>
            <w:r>
              <w:rPr>
                <w:rFonts w:ascii="Consolas" w:hAnsi="Consolas"/>
                <w:color w:val="DDE6FF"/>
                <w:sz w:val="17"/>
              </w:rPr>
              <w:t>$$;</w:t>
            </w:r>
          </w:p>
        </w:tc>
      </w:tr>
    </w:tbl>
    <w:p>
      <w:pPr>
        <w:spacing w:after="40"/>
      </w:pPr>
    </w:p>
    <w:p>
      <w:r>
        <w:rPr>
          <w:i w:val="0"/>
        </w:rPr>
        <w:t>Hoy es redundante: si se ejecuta después de db/00_roles.sql no hace nada (el rol ya existe) y, si se ejecutara antes, crearía el rol con una contraseña fija ('dev') distinta de la que fija db/00_roles.sql. Además, su cabecera indica que ningún .sql crea un usuario de login, lo que ya no es cierto. Se recomienda retirarlo o dejarlo como referencia con la cabecera corregida, y verificar los scripts de CI y los documentos que lo mencionen.</w:t>
      </w:r>
    </w:p>
    <w:p>
      <w:pPr>
        <w:pStyle w:val="Heading1"/>
        <w:pBdr>
          <w:bottom w:val="single" w:sz="12" w:space="1" w:color="1F2666"/>
        </w:pBdr>
      </w:pPr>
      <w:r>
        <w:t>7. Recomendaciones de reconciliación</w:t>
      </w:r>
    </w:p>
    <w:p>
      <w:r>
        <w:rPr>
          <w:i w:val="0"/>
        </w:rPr>
        <w:t>Las recomendaciones de la versión 1.0 sobre incorporar el rol de login al DDL maestro ya están cumplidas (sección 6) y se retiran. Quedan abiertas:</w:t>
      </w:r>
    </w:p>
    <w:p>
      <w:pPr>
        <w:pStyle w:val="ListBullet"/>
      </w:pPr>
      <w:r>
        <w:t>Actualizar el Modelo de Base de Datos de Fase 1 (o su próxima versión) con las columnas reales de vec.definition_embeddings (incluidas modelo_embedding, la FK a cm.nodes y los valores admitidos de capa) y con la tabla vec.ticket_embeddings completa.</w:t>
      </w:r>
    </w:p>
    <w:p>
      <w:pPr>
        <w:pStyle w:val="ListBullet"/>
      </w:pPr>
      <w:r>
        <w:t>Documentar formalmente core.organizations (en reemplazo de core.tenants), core.webhook_inbox y core.tickets en el diccionario de datos, a cargo de Anderson González como responsable del esquema. Las secciones 5.1 a 5.3 de este addendum pueden usarse como base.</w:t>
      </w:r>
    </w:p>
    <w:p>
      <w:pPr>
        <w:pStyle w:val="ListBullet"/>
      </w:pPr>
      <w:r>
        <w:t>Formalizar en un ADR la relación entre core.tickets y core.jobs descrita en la sección 5.4.</w:t>
      </w:r>
    </w:p>
    <w:p>
      <w:pPr>
        <w:pStyle w:val="ListBullet"/>
      </w:pPr>
      <w:r>
        <w:t>Retirar o actualizar db/seeds/dev_role.sql (sección 6.3) y actualizar la documentación que aún lo cite.</w:t>
      </w:r>
    </w:p>
    <w:p>
      <w:pPr>
        <w:pStyle w:val="ListBullet"/>
      </w:pPr>
      <w:r>
        <w:t>Una vez reconciliado, actualizar el Diagrama de Clases y el Modelo de Base de Datos (diagramas) para que reflejen el esquema real verificado.</w:t>
      </w:r>
    </w:p>
    <w:p>
      <w:pPr>
        <w:pStyle w:val="Heading1"/>
        <w:pBdr>
          <w:bottom w:val="single" w:sz="12" w:space="1" w:color="1F2666"/>
        </w:pBdr>
      </w:pPr>
      <w:r>
        <w:t>8. Anexo — Fuentes verificadas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Afirmación</w:t>
            </w:r>
          </w:p>
        </w:tc>
        <w:tc>
          <w:tcPr>
            <w:tcW w:type="dxa" w:w="5669"/>
            <w:shd w:val="clear" w:fill="1F2666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Fuente en el repositorio</w:t>
            </w:r>
          </w:p>
        </w:tc>
      </w:tr>
      <w:tr>
        <w:tc>
          <w:tcPr>
            <w:tcW w:type="dxa" w:w="3969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Columnas de vec.ticket_embeddings y vec.definition_embeddings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sz w:val="19"/>
              </w:rPr>
              <w:t>db/01_schema.sql; db/migrations/001_vec_modelo_embedding_hash.sql; db/migrations/022_vec_fk_cm.sql</w:t>
            </w:r>
          </w:p>
        </w:tc>
      </w:tr>
      <w:tr>
        <w:tc>
          <w:tcPr>
            <w:tcW w:type="dxa" w:w="3969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Uso en el código (upsert, claves de conflicto, hash)</w:t>
            </w:r>
          </w:p>
        </w:tc>
        <w:tc>
          <w:tcPr>
            <w:tcW w:type="dxa" w:w="5669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packages/core/src/kallicode_core/vectores.py</w:t>
            </w:r>
          </w:p>
        </w:tc>
      </w:tr>
      <w:tr>
        <w:tc>
          <w:tcPr>
            <w:tcW w:type="dxa" w:w="3969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Uso de webhook_inbox y tickets por la ingesta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sz w:val="19"/>
              </w:rPr>
              <w:t>apps/workers/src/kallicode_workers/normalizer.py</w:t>
            </w:r>
          </w:p>
        </w:tc>
      </w:tr>
      <w:tr>
        <w:tc>
          <w:tcPr>
            <w:tcW w:type="dxa" w:w="3969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Estructura de core.organizations, core.webhook_inbox, core.tickets, core.jobs</w:t>
            </w:r>
          </w:p>
        </w:tc>
        <w:tc>
          <w:tcPr>
            <w:tcW w:type="dxa" w:w="5669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db/01_schema.sql</w:t>
            </w:r>
          </w:p>
        </w:tc>
      </w:tr>
      <w:tr>
        <w:tc>
          <w:tcPr>
            <w:tcW w:type="dxa" w:w="3969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Roles y atributos (incluido kallicode_dev)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sz w:val="19"/>
              </w:rPr>
              <w:t>db/00_roles.sql</w:t>
            </w:r>
          </w:p>
        </w:tc>
      </w:tr>
      <w:tr>
        <w:tc>
          <w:tcPr>
            <w:tcW w:type="dxa" w:w="3969"/>
            <w:shd w:val="clear" w:fill="ECEEF6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Política RLS tenant_isolation y función core.current_tenant()</w:t>
            </w:r>
          </w:p>
        </w:tc>
        <w:tc>
          <w:tcPr>
            <w:tcW w:type="dxa" w:w="5669"/>
            <w:shd w:val="clear" w:fill="ECEEF6"/>
          </w:tcPr>
          <w:p>
            <w:pPr>
              <w:spacing w:after="40" w:line="240" w:lineRule="auto"/>
            </w:pPr>
            <w:r>
              <w:rPr>
                <w:sz w:val="19"/>
              </w:rPr>
              <w:t>db/04_rls.sql; db/01_schema.sql; db/migrations/002_esquema_cm.sql (esquema cm)</w:t>
            </w:r>
          </w:p>
        </w:tc>
      </w:tr>
      <w:tr>
        <w:tc>
          <w:tcPr>
            <w:tcW w:type="dxa" w:w="3969"/>
          </w:tcPr>
          <w:p>
            <w:pPr>
              <w:spacing w:after="40" w:line="240" w:lineRule="auto"/>
            </w:pPr>
            <w:r>
              <w:rPr>
                <w:b/>
                <w:color w:val="1F2666"/>
                <w:sz w:val="19"/>
              </w:rPr>
              <w:t>Seed de rol obsoleto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sz w:val="19"/>
              </w:rPr>
              <w:t>db/seeds/dev_role.sql</w:t>
            </w:r>
          </w:p>
        </w:tc>
      </w:tr>
    </w:tbl>
    <w:p>
      <w:pPr>
        <w:spacing w:after="40"/>
      </w:pPr>
    </w:p>
    <w:p>
      <w:r>
        <w:rPr>
          <w:i/>
        </w:rPr>
        <w:t>Alcance y límites de la verificación: no se tuvo a la vista el documento de Fase 1 ni el informe de pruebas de KC-ONB-02-5 (DEF-01); las comparaciones con el diseño de Fase 1 se toman de la versión 1.0 de este addendum.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66"/>
        <w:sz w:val="17"/>
      </w:rPr>
      <w:t xml:space="preserve">KalliCode Platform — Documento interno de equipo · Página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2666"/>
        <w:sz w:val="17"/>
      </w:rPr>
      <w:t>KalliCode Platform · Addendum Modelo de BD ·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1F26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1F26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Modelo de Base de Datos - KalliCode Platform v1.1</dc:title>
  <dc:subject/>
  <dc:creator>Francisco Salinas / Anderson González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