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1E2761"/>
          <w:sz w:val="64"/>
          <w:szCs w:val="64"/>
        </w:rPr>
        <w:t xml:space="preserve">KALLICODE</w:t>
      </w:r>
    </w:p>
    <w:p>
      <w:pPr>
        <w:spacing w:after="320" w:before="80"/>
        <w:jc w:val="center"/>
      </w:pPr>
      <w:r>
        <w:rPr>
          <w:rFonts w:ascii="Calibri" w:cs="Calibri" w:eastAsia="Calibri" w:hAnsi="Calibri"/>
          <w:b/>
          <w:bCs/>
          <w:color w:val="B08D57"/>
          <w:sz w:val="24"/>
          <w:szCs w:val="24"/>
        </w:rPr>
        <w:t xml:space="preserve">PLATFORM · PORTAFOLIO DE TÍTULO</w:t>
      </w:r>
    </w:p>
    <w:p>
      <w:pPr>
        <w:spacing w:after="160"/>
        <w:jc w:val="center"/>
      </w:pPr>
      <w:r>
        <w:rPr>
          <w:rFonts w:ascii="Cambria" w:cs="Cambria" w:eastAsia="Cambria" w:hAnsi="Cambria"/>
          <w:b/>
          <w:bCs/>
          <w:color w:val="121A47"/>
          <w:sz w:val="44"/>
          <w:szCs w:val="44"/>
        </w:rPr>
        <w:t xml:space="preserve">Casos de Prueba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2B2B2B"/>
          <w:sz w:val="24"/>
          <w:szCs w:val="24"/>
        </w:rPr>
        <w:t xml:space="preserve">Detalle de verificación — capa vectorial y normalización de ingesta</w:t>
      </w:r>
    </w:p>
    <w:tbl>
      <w:tblPr>
        <w:tblW w:type="dxa" w:w="7200"/>
        <w:jc w:val="center"/>
        <w:tblBorders>
          <w:top w:val="single" w:color="C9CCDB" w:sz="4"/>
          <w:left w:val="single" w:color="C9CCDB" w:sz="4"/>
          <w:bottom w:val="single" w:color="C9CCDB" w:sz="4"/>
          <w:right w:val="single" w:color="C9CCDB" w:sz="4"/>
          <w:insideH w:val="single" w:color="C9CCDB" w:sz="4"/>
          <w:insideV w:val="single" w:color="C9CCDB" w:sz="4"/>
        </w:tblBorders>
      </w:tblPr>
      <w:tblGrid>
        <w:gridCol w:w="2400"/>
        <w:gridCol w:w="4800"/>
      </w:tblGrid>
      <w:tr>
        <w:tc>
          <w:tcPr>
            <w:tcW w:type="dxa" w:w="24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4800"/>
            <w:shd w:fill="EDEF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KalliCode Platform — Portafolio de Título</w:t>
            </w:r>
          </w:p>
        </w:tc>
      </w:tr>
      <w:tr>
        <w:tc>
          <w:tcPr>
            <w:tcW w:type="dxa" w:w="24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4800"/>
            <w:shd w:fill="EDEF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Casos de Prueba</w:t>
            </w:r>
          </w:p>
        </w:tc>
      </w:tr>
      <w:tr>
        <w:tc>
          <w:tcPr>
            <w:tcW w:type="dxa" w:w="24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W w:type="dxa" w:w="4800"/>
            <w:shd w:fill="EDEF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Plan de Pruebas v1.0 (sección 6: Suite de referencia — capa vectorial KC-ONB-02-5)</w:t>
            </w:r>
          </w:p>
        </w:tc>
      </w:tr>
      <w:tr>
        <w:tc>
          <w:tcPr>
            <w:tcW w:type="dxa" w:w="24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800"/>
            <w:shd w:fill="EDEF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4800"/>
            <w:shd w:fill="EDEF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09-10-2026</w:t>
            </w:r>
          </w:p>
        </w:tc>
      </w:tr>
      <w:tr>
        <w:tc>
          <w:tcPr>
            <w:tcW w:type="dxa" w:w="24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4800"/>
            <w:shd w:fill="EDEF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Francisco Salinas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E2761" w:sz="12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Casos de Prueba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Este documento detalla, caso por caso, las verificaciones descritas en el Plan de Pruebas. Los casos CP-01 a CP-05 corresponden a la suite automatizada packages/core/test/test_vec_capa_vectorial.py (ticket KC-ONB-02-5), con estado 'Aprobado' sobre la base de la última ejecución registrada (5 passed in 1.60s). Los casos CP-06 a CP-10 describen comportamientos ya implementados en apps/workers/kallicode_workers/normalizer.py que aún no cuentan con una prueba automatizada dedicada; se documentan con estado 'Pendiente de automatizar' para priorizarlos en el siguiente ciclo.</w:t>
      </w:r>
    </w:p>
    <w:tbl>
      <w:tblPr>
        <w:tblW w:type="dxa" w:w="14040"/>
        <w:tblBorders>
          <w:top w:val="single" w:color="C9CCDB" w:sz="4"/>
          <w:left w:val="single" w:color="C9CCDB" w:sz="4"/>
          <w:bottom w:val="single" w:color="C9CCDB" w:sz="4"/>
          <w:right w:val="single" w:color="C9CCDB" w:sz="4"/>
          <w:insideH w:val="single" w:color="C9CCDB" w:sz="4"/>
          <w:insideV w:val="single" w:color="C9CCDB" w:sz="4"/>
        </w:tblBorders>
      </w:tblPr>
      <w:tblGrid>
        <w:gridCol w:w="500"/>
        <w:gridCol w:w="1500"/>
        <w:gridCol w:w="2300"/>
        <w:gridCol w:w="2100"/>
        <w:gridCol w:w="3100"/>
        <w:gridCol w:w="2800"/>
        <w:gridCol w:w="1740"/>
      </w:tblGrid>
      <w:tr>
        <w:trPr>
          <w:tblHeader/>
        </w:trPr>
        <w:tc>
          <w:tcPr>
            <w:tcW w:type="dxa" w:w="5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3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1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Precondición</w:t>
            </w:r>
          </w:p>
        </w:tc>
        <w:tc>
          <w:tcPr>
            <w:tcW w:type="dxa" w:w="31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Pasos</w:t>
            </w:r>
          </w:p>
        </w:tc>
        <w:tc>
          <w:tcPr>
            <w:tcW w:type="dxa" w:w="28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74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CP-01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Capa vectorial — Aislamiento (RLS)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Un tenant no ve definiciones embebidas de otro tenant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Dos organizaciones de prueba existentes (tenant A, tenant B).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Conexión establecida con el rol kallicode_dev (sin bypass de RLS).</w:t>
            </w:r>
          </w:p>
        </w:tc>
        <w:tc>
          <w:tcPr>
            <w:tcW w:type="dxa" w:w="3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1. Como tenant A, insertar una definición embebida (nodo_ref=checkout.validate_order) vía upsert_definition_embedding.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2. Abrir una sesión como tenant B.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3. Consultar vec.definition_embeddings filtrando por el mismo nodo_ref.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La consulta como tenant B devuelve 0 filas: RLS impide ver datos de otro tenant.</w:t>
            </w:r>
          </w:p>
        </w:tc>
        <w:tc>
          <w:tcPr>
            <w:tcW w:type="dxa" w:w="17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5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CP-02</w:t>
            </w:r>
          </w:p>
        </w:tc>
        <w:tc>
          <w:tcPr>
            <w:tcW w:type="dxa" w:w="15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Capa vectorial — Aislamiento (RLS)</w:t>
            </w:r>
          </w:p>
        </w:tc>
        <w:tc>
          <w:tcPr>
            <w:tcW w:type="dxa" w:w="23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Un tenant no puede escribir forjando el tenant_id de otro</w:t>
            </w:r>
          </w:p>
        </w:tc>
        <w:tc>
          <w:tcPr>
            <w:tcW w:type="dxa" w:w="21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Dos organizaciones de prueba existentes (tenant A, tenant B).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Sesión de base de datos fijada con app.tenant_id = tenant B.</w:t>
            </w:r>
          </w:p>
        </w:tc>
        <w:tc>
          <w:tcPr>
            <w:tcW w:type="dxa" w:w="31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1. Dentro de la sesión fijada para tenant B, invocar upsert_definition_embedding indicando tenant_id=tenant A (forjado).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2. Intentar confirmar (commit) la operación.</w:t>
            </w:r>
          </w:p>
        </w:tc>
        <w:tc>
          <w:tcPr>
            <w:tcW w:type="dxa" w:w="28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La base de datos rechaza la escritura (la política WITH CHECK de RLS levanta una excepción); no queda fila insertada a nombre de tenant A.</w:t>
            </w:r>
          </w:p>
        </w:tc>
        <w:tc>
          <w:tcPr>
            <w:tcW w:type="dxa" w:w="174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CP-03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Capa vectorial — Recall semántico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El orden de resultados por similitud de coseno es correcto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Tenant de prueba existente.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Tres definiciones embebidas insertadas con vectores dirigidos en dos ejes (cercano, intermedio, lejano).</w:t>
            </w:r>
          </w:p>
        </w:tc>
        <w:tc>
          <w:tcPr>
            <w:tcW w:type="dxa" w:w="3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1. Insertar checkout.validate_order, checkout.compute_tax y billing.send_invoice_email con vectores de distinta cercanía a una consulta de referencia.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2. Ejecutar un SELECT ... ORDER BY embedding &lt;=&gt; :consulta LIMIT 3 sobre vec.definition_embeddings.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El orden devuelto es exactamente [checkout.validate_order, checkout.compute_tax, billing.send_invoice_email], de mayor a menor cercanía semántica.</w:t>
            </w:r>
          </w:p>
        </w:tc>
        <w:tc>
          <w:tcPr>
            <w:tcW w:type="dxa" w:w="17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5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CP-04</w:t>
            </w:r>
          </w:p>
        </w:tc>
        <w:tc>
          <w:tcPr>
            <w:tcW w:type="dxa" w:w="15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Capa vectorial — Idempotencia</w:t>
            </w:r>
          </w:p>
        </w:tc>
        <w:tc>
          <w:tcPr>
            <w:tcW w:type="dxa" w:w="23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Reinsertar contenido idéntico no duplica ni reescribe</w:t>
            </w:r>
          </w:p>
        </w:tc>
        <w:tc>
          <w:tcPr>
            <w:tcW w:type="dxa" w:w="21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Tenant de prueba existente.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Una definición ya embebida con un texto_hash conocido.</w:t>
            </w:r>
          </w:p>
        </w:tc>
        <w:tc>
          <w:tcPr>
            <w:tcW w:type="dxa" w:w="31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1. Invocar upsert_definition_embedding una primera vez con texto_hash=H1.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2. Invocar upsert_definition_embedding nuevamente con el mismo nodo_ref y el mismo texto_hash=H1.</w:t>
            </w:r>
          </w:p>
        </w:tc>
        <w:tc>
          <w:tcPr>
            <w:tcW w:type="dxa" w:w="28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La segunda llamada devuelve False (no escribe); sigue existiendo una única fila para ese nodo_ref y su embedding no cambia.</w:t>
            </w:r>
          </w:p>
        </w:tc>
        <w:tc>
          <w:tcPr>
            <w:tcW w:type="dxa" w:w="174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CP-05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Capa vectorial — Idempotencia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Contenido distinto sí actualiza el embedding almacenado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Tenant de prueba existente.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Una definición ya embebida con texto_hash=H1.</w:t>
            </w:r>
          </w:p>
        </w:tc>
        <w:tc>
          <w:tcPr>
            <w:tcW w:type="dxa" w:w="3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1. Invocar upsert_definition_embedding con el mismo nodo_ref pero texto_hash=H2 (contenido distinto) y un nuevo vector.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La llamada devuelve True (sí escribe); la fila existente se actualiza con el nuevo embedding y texto_hash=H2.</w:t>
            </w:r>
          </w:p>
        </w:tc>
        <w:tc>
          <w:tcPr>
            <w:tcW w:type="dxa" w:w="17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5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CP-06</w:t>
            </w:r>
          </w:p>
        </w:tc>
        <w:tc>
          <w:tcPr>
            <w:tcW w:type="dxa" w:w="15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Normalización — Webhook Jira</w:t>
            </w:r>
          </w:p>
        </w:tc>
        <w:tc>
          <w:tcPr>
            <w:tcW w:type="dxa" w:w="23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Un evento jira:issue_created válido se normaliza a ticket interno</w:t>
            </w:r>
          </w:p>
        </w:tc>
        <w:tc>
          <w:tcPr>
            <w:tcW w:type="dxa" w:w="21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Entrada pendiente en core.webhook_inbox con evento=jira:issue, webhookEvent=jira:issue_created.</w:t>
            </w:r>
          </w:p>
        </w:tc>
        <w:tc>
          <w:tcPr>
            <w:tcW w:type="dxa" w:w="31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1. Ejecutar procesar_inbox sobre la entrada.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2. Revisar el ticket creado en core.tickets y el estado final de la entrada en webhook_inbox.</w:t>
            </w:r>
          </w:p>
        </w:tc>
        <w:tc>
          <w:tcPr>
            <w:tcW w:type="dxa" w:w="28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Se crea un ticket interno con tipo=bug, prioridad mapeada desde el campo priority de Jira (p. ej. high → alta), y la entrada queda en estado 'procesado' con ticket_id asociado.</w:t>
            </w:r>
          </w:p>
        </w:tc>
        <w:tc>
          <w:tcPr>
            <w:tcW w:type="dxa" w:w="174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8D57"/>
                <w:sz w:val="17"/>
                <w:szCs w:val="17"/>
              </w:rPr>
              <w:t xml:space="preserve">Pendiente de automatizar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CP-07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Normalización — Webhook GitHub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Un issue de GitHub con etiqueta kallicode:skip se ignora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Entrada pendiente en core.webhook_inbox con evento=issues, action=opened, labels incluyendo kallicode:skip.</w:t>
            </w:r>
          </w:p>
        </w:tc>
        <w:tc>
          <w:tcPr>
            <w:tcW w:type="dxa" w:w="3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1. Ejecutar procesar_inbox sobre la entrada.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No se crea ningún ticket interno; la entrada en webhook_inbox queda en estado 'ignorado'.</w:t>
            </w:r>
          </w:p>
        </w:tc>
        <w:tc>
          <w:tcPr>
            <w:tcW w:type="dxa" w:w="17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8D57"/>
                <w:sz w:val="17"/>
                <w:szCs w:val="17"/>
              </w:rPr>
              <w:t xml:space="preserve">Pendiente de automatizar</w:t>
            </w:r>
          </w:p>
        </w:tc>
      </w:tr>
      <w:tr>
        <w:tc>
          <w:tcPr>
            <w:tcW w:type="dxa" w:w="5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CP-08</w:t>
            </w:r>
          </w:p>
        </w:tc>
        <w:tc>
          <w:tcPr>
            <w:tcW w:type="dxa" w:w="15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Normalización — Help / soporte</w:t>
            </w:r>
          </w:p>
        </w:tc>
        <w:tc>
          <w:tcPr>
            <w:tcW w:type="dxa" w:w="23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Un ticket de Help con alta confianza de diagnóstico se prioriza como alta</w:t>
            </w:r>
          </w:p>
        </w:tc>
        <w:tc>
          <w:tcPr>
            <w:tcW w:type="dxa" w:w="21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Entrada pendiente en core.webhook_inbox con evento=help:ticket y diagnostico.confianza &gt; 0.8.</w:t>
            </w:r>
          </w:p>
        </w:tc>
        <w:tc>
          <w:tcPr>
            <w:tcW w:type="dxa" w:w="31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1. Ejecutar procesar_inbox sobre la entrada.</w:t>
            </w:r>
          </w:p>
        </w:tc>
        <w:tc>
          <w:tcPr>
            <w:tcW w:type="dxa" w:w="28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El ticket interno creado queda con prioridad='alta' (independiente del valor que el formulario haya sugerido), conforme a la regla de _de_help.</w:t>
            </w:r>
          </w:p>
        </w:tc>
        <w:tc>
          <w:tcPr>
            <w:tcW w:type="dxa" w:w="174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8D57"/>
                <w:sz w:val="17"/>
                <w:szCs w:val="17"/>
              </w:rPr>
              <w:t xml:space="preserve">Pendiente de automatizar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CP-09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Normalización — Resultado de CI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Un evento ci:resultado no crea ticket, solo cierra la entrada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Entrada pendiente en core.webhook_inbox con evento=ci:resultado.</w:t>
            </w:r>
          </w:p>
        </w:tc>
        <w:tc>
          <w:tcPr>
            <w:tcW w:type="dxa" w:w="3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1. Ejecutar procesar_inbox sobre la entrada.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No se crea ningún ticket; la entrada queda en estado 'procesado' (la correlación con el job de CI se delega al orquestador).</w:t>
            </w:r>
          </w:p>
        </w:tc>
        <w:tc>
          <w:tcPr>
            <w:tcW w:type="dxa" w:w="17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8D57"/>
                <w:sz w:val="17"/>
                <w:szCs w:val="17"/>
              </w:rPr>
              <w:t xml:space="preserve">Pendiente de automatizar</w:t>
            </w:r>
          </w:p>
        </w:tc>
      </w:tr>
      <w:tr>
        <w:tc>
          <w:tcPr>
            <w:tcW w:type="dxa" w:w="5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CP-10</w:t>
            </w:r>
          </w:p>
        </w:tc>
        <w:tc>
          <w:tcPr>
            <w:tcW w:type="dxa" w:w="15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Triage — Resiliencia del paso de embedding</w:t>
            </w:r>
          </w:p>
        </w:tc>
        <w:tc>
          <w:tcPr>
            <w:tcW w:type="dxa" w:w="23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Un fallo del servicio de embeddings no bloquea la clasificación LLM</w:t>
            </w:r>
          </w:p>
        </w:tc>
        <w:tc>
          <w:tcPr>
            <w:tcW w:type="dxa" w:w="21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Ticket en etapa 'triage'.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El servicio de embeddings (TEI) no responde o devuelve error.</w:t>
            </w:r>
          </w:p>
        </w:tc>
        <w:tc>
          <w:tcPr>
            <w:tcW w:type="dxa" w:w="31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1. Ejecutar procesar_triage sobre el ticket.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2. Verificar que el flujo continúa hacia el paso triage.classify.</w:t>
            </w:r>
          </w:p>
        </w:tc>
        <w:tc>
          <w:tcPr>
            <w:tcW w:type="dxa" w:w="280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El fallo de embedding se registra como advertencia (triage.embedding_fallo) sin interrumpir la ejecución; el paso LLM triage.classify se ejecuta igualmente (best-effort).</w:t>
            </w:r>
          </w:p>
        </w:tc>
        <w:tc>
          <w:tcPr>
            <w:tcW w:type="dxa" w:w="1740"/>
            <w:shd w:fill="EDEF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8D57"/>
                <w:sz w:val="17"/>
                <w:szCs w:val="17"/>
              </w:rPr>
              <w:t xml:space="preserve">Pendiente de automatizar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Nota: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el detalle de ejecución (fecha, ambiente, evidencia y resultado obtenido de cada caso) se documenta en Resultados de las Pruebas, entregable siguiente de esta fase.</w:t>
      </w:r>
    </w:p>
    <w:sectPr>
      <w:headerReference w:type="default" r:id="rId7"/>
      <w:footerReference w:type="default" r:id="rId8"/>
      <w:pgSz w:w="15840" w:h="12240" w:orient="landscape"/>
      <w:pgMar w:top="1200" w:right="900" w:bottom="11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7E96"/>
        <w:sz w:val="16"/>
        <w:szCs w:val="16"/>
      </w:rPr>
      <w:t xml:space="preserve">KalliCode Platform — Documento interno de equipo · Página </w:t>
    </w:r>
    <w:r>
      <w:rPr>
        <w:rFonts w:ascii="Calibri" w:cs="Calibri" w:eastAsia="Calibri" w:hAnsi="Calibri"/>
        <w:color w:val="7A7E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A7E96"/>
        <w:sz w:val="16"/>
        <w:szCs w:val="16"/>
      </w:rPr>
      <w:t xml:space="preserve"> de </w:t>
    </w:r>
    <w:r>
      <w:rPr>
        <w:rFonts w:ascii="Calibri" w:cs="Calibri" w:eastAsia="Calibri" w:hAnsi="Calibri"/>
        <w:color w:val="7A7E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57" w:sz="6" w:space="4"/>
      </w:pBdr>
      <w:jc w:val="right"/>
    </w:pPr>
    <w:r>
      <w:rPr>
        <w:rFonts w:ascii="Calibri" w:cs="Calibri" w:eastAsia="Calibri" w:hAnsi="Calibri"/>
        <w:b/>
        <w:bCs/>
        <w:color w:val="1E2761"/>
        <w:sz w:val="16"/>
        <w:szCs w:val="16"/>
      </w:rPr>
      <w:t xml:space="preserve">KalliCode Platform · Casos de Prueba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rFonts w:ascii="Calibri" w:cs="Calibri" w:eastAsia="Calibri" w:hAnsi="Calibri"/>
        <w:color w:val="1E276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2026-10-10T01:10:22.752Z</dcterms:created>
  <dcterms:modified xsi:type="dcterms:W3CDTF">2026-10-10T01:10:22.753Z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