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mbria" w:cs="Cambria" w:eastAsia="Cambria" w:hAnsi="Cambria"/>
          <w:b/>
          <w:bCs/>
          <w:color w:val="1E2761"/>
          <w:sz w:val="64"/>
          <w:szCs w:val="64"/>
        </w:rPr>
        <w:t xml:space="preserve">KALLICODE</w:t>
      </w:r>
    </w:p>
    <w:p>
      <w:pPr>
        <w:spacing w:after="320" w:before="80"/>
        <w:jc w:val="center"/>
      </w:pPr>
      <w:r>
        <w:rPr>
          <w:rFonts w:ascii="Calibri" w:cs="Calibri" w:eastAsia="Calibri" w:hAnsi="Calibri"/>
          <w:b/>
          <w:bCs/>
          <w:color w:val="B08D57"/>
          <w:sz w:val="24"/>
          <w:szCs w:val="24"/>
        </w:rPr>
        <w:t xml:space="preserve">PLATFORM · PORTAFOLIO DE TÍTULO</w:t>
      </w:r>
    </w:p>
    <w:p>
      <w:pPr>
        <w:spacing w:after="160"/>
        <w:jc w:val="center"/>
      </w:pPr>
      <w:r>
        <w:rPr>
          <w:rFonts w:ascii="Cambria" w:cs="Cambria" w:eastAsia="Cambria" w:hAnsi="Cambria"/>
          <w:b/>
          <w:bCs/>
          <w:color w:val="121A47"/>
          <w:sz w:val="44"/>
          <w:szCs w:val="44"/>
        </w:rPr>
        <w:t xml:space="preserve">Diagrama de Casos de Uso</w:t>
      </w:r>
    </w:p>
    <w:p>
      <w:pPr>
        <w:spacing w:after="900"/>
        <w:jc w:val="center"/>
      </w:pPr>
      <w:r>
        <w:rPr>
          <w:rFonts w:ascii="Calibri" w:cs="Calibri" w:eastAsia="Calibri" w:hAnsi="Calibri"/>
          <w:i/>
          <w:iCs/>
          <w:color w:val="2B2B2B"/>
          <w:sz w:val="24"/>
          <w:szCs w:val="24"/>
        </w:rPr>
        <w:t xml:space="preserve">KalliCode Platform — versión actualizada a Fase 2, con diagrama visual</w:t>
      </w:r>
    </w:p>
    <w:tbl>
      <w:tblPr>
        <w:tblW w:type="dxa" w:w="7200"/>
        <w:jc w:val="center"/>
        <w:tblBorders>
          <w:top w:val="single" w:color="C9CCDB" w:sz="4"/>
          <w:left w:val="single" w:color="C9CCDB" w:sz="4"/>
          <w:bottom w:val="single" w:color="C9CCDB" w:sz="4"/>
          <w:right w:val="single" w:color="C9CCDB" w:sz="4"/>
          <w:insideH w:val="single" w:color="C9CCDB" w:sz="4"/>
          <w:insideV w:val="single" w:color="C9CCDB" w:sz="4"/>
        </w:tblBorders>
      </w:tblPr>
      <w:tblGrid>
        <w:gridCol w:w="2400"/>
        <w:gridCol w:w="4800"/>
      </w:tblGrid>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Proyecto</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KalliCode Platform — Fusión CodeMapping y Fábrica de Producción de Software (E1+E2)</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Documento</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Diagrama de Casos de Uso</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Versión</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2.0 — actualiza la v1.0 de Fase 1 (sin diagrama visual, solo tabla descriptiva)</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Fecha</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09-10-2026</w:t>
            </w:r>
          </w:p>
        </w:tc>
      </w:tr>
      <w:tr>
        <w:tc>
          <w:tcPr>
            <w:tcW w:type="dxa" w:w="2400"/>
            <w:shd w:fill="1E2761" w:color="auto"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Actualizado por</w:t>
            </w:r>
          </w:p>
        </w:tc>
        <w:tc>
          <w:tcPr>
            <w:tcW w:type="dxa" w:w="48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Francisco Salinas</w:t>
            </w:r>
          </w:p>
        </w:tc>
      </w:tr>
    </w:tbl>
    <w:p>
      <w:r>
        <w:br w:type="page"/>
      </w:r>
    </w:p>
    <w:p>
      <w:pPr>
        <w:sectPr>
          <w:pgSz w:w="12240" w:h="15840" w:orient="portrait"/>
          <w:pgMar w:top="1000" w:right="1100" w:bottom="1000" w:left="1100" w:header="708" w:footer="708" w:gutter="0"/>
          <w:pgNumType/>
          <w:docGrid w:linePitch="360"/>
        </w:sectPr>
      </w:pPr>
    </w:p>
    <w:p>
      <w:pPr>
        <w:pStyle w:val="Heading1"/>
        <w:pBdr>
          <w:bottom w:val="single" w:color="1E2761" w:sz="12" w:space="4"/>
        </w:pBdr>
        <w:spacing w:after="160" w:before="360"/>
      </w:pPr>
      <w:r>
        <w:rPr>
          <w:rFonts w:ascii="Cambria" w:cs="Cambria" w:eastAsia="Cambria" w:hAnsi="Cambria"/>
          <w:b/>
          <w:bCs/>
          <w:color w:val="1E2761"/>
          <w:sz w:val="30"/>
          <w:szCs w:val="30"/>
        </w:rPr>
        <w:t xml:space="preserve">1. Novedad de esta versión</w:t>
      </w:r>
    </w:p>
    <w:p>
      <w:pPr>
        <w:spacing w:after="120" w:line="276"/>
      </w:pPr>
      <w:r>
        <w:rPr>
          <w:rFonts w:ascii="Calibri" w:cs="Calibri" w:eastAsia="Calibri" w:hAnsi="Calibri"/>
          <w:color w:val="2B2B2B"/>
          <w:sz w:val="22"/>
          <w:szCs w:val="22"/>
        </w:rPr>
        <w:t xml:space="preserve">El documento de Fase 1 (Diagrama_Casos_de_Uso_KalliCode.docx) contenía únicamente una tabla descriptiva de 10 casos de uso, sin el diagrama UML correspondiente. Esta versión agrega el diagrama visual (sección 2), actualiza el estado real de cada caso de uso según lo verificado hasta el Sprint 7 (sección 3), y agrega 3 casos de uso que el código real implementa pero que no estaban en el relevamiento original (UC-11, UC-12, UC-13).</w:t>
      </w:r>
    </w:p>
    <w:p>
      <w:pPr>
        <w:pStyle w:val="Heading1"/>
        <w:pBdr>
          <w:bottom w:val="single" w:color="1E2761" w:sz="12" w:space="4"/>
        </w:pBdr>
        <w:spacing w:after="160" w:before="360"/>
      </w:pPr>
      <w:r>
        <w:rPr>
          <w:rFonts w:ascii="Cambria" w:cs="Cambria" w:eastAsia="Cambria" w:hAnsi="Cambria"/>
          <w:b/>
          <w:bCs/>
          <w:color w:val="1E2761"/>
          <w:sz w:val="30"/>
          <w:szCs w:val="30"/>
        </w:rPr>
        <w:t xml:space="preserve">2. Diagrama de casos de uso</w:t>
      </w:r>
    </w:p>
    <w:p>
      <w:pPr>
        <w:spacing w:after="80" w:before="120"/>
        <w:jc w:val="center"/>
      </w:pPr>
      <w:r>
        <w:drawing>
          <wp:inline distT="0" distB="0" distL="0" distR="0">
            <wp:extent cx="58293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4829175"/>
                    </a:xfrm>
                    <a:prstGeom prst="rect">
                      <a:avLst/>
                    </a:prstGeom>
                  </pic:spPr>
                </pic:pic>
              </a:graphicData>
            </a:graphic>
          </wp:inline>
        </w:drawing>
      </w:r>
    </w:p>
    <w:p>
      <w:pPr>
        <w:spacing w:before="60"/>
        <w:jc w:val="center"/>
      </w:pPr>
      <w:r>
        <w:rPr>
          <w:rFonts w:ascii="Calibri" w:cs="Calibri" w:eastAsia="Calibri" w:hAnsi="Calibri"/>
          <w:b/>
          <w:bCs/>
          <w:color w:val="1E2761"/>
          <w:sz w:val="22"/>
          <w:szCs w:val="22"/>
        </w:rPr>
        <w:t xml:space="preserve">Leyenda de color: </w:t>
      </w:r>
      <w:r>
        <w:rPr>
          <w:rFonts w:ascii="Calibri" w:cs="Calibri" w:eastAsia="Calibri" w:hAnsi="Calibri"/>
          <w:color w:val="2B2B2B"/>
          <w:sz w:val="22"/>
          <w:szCs w:val="22"/>
        </w:rPr>
        <w:t xml:space="preserve">verde = implementado y probado, dorado = en curso, rojo = pendiente, gris-azulado = implementado pero sin prueba automatizada dedicada. Los casos marcados "(nuevo)" no estaban en el diagrama original de Fase 1 porque, a esa fecha, el flujo real de ingesta por webhook aún no se había construido.</w:t>
      </w:r>
    </w:p>
    <w:p>
      <w:pPr>
        <w:pStyle w:val="Heading1"/>
        <w:pBdr>
          <w:bottom w:val="single" w:color="1E2761" w:sz="12" w:space="4"/>
        </w:pBdr>
        <w:spacing w:after="160" w:before="360"/>
      </w:pPr>
      <w:r>
        <w:rPr>
          <w:rFonts w:ascii="Cambria" w:cs="Cambria" w:eastAsia="Cambria" w:hAnsi="Cambria"/>
          <w:b/>
          <w:bCs/>
          <w:color w:val="1E2761"/>
          <w:sz w:val="30"/>
          <w:szCs w:val="30"/>
        </w:rPr>
        <w:t xml:space="preserve">3. Descripción de los casos de uso (actualizada)</w:t>
      </w:r>
    </w:p>
    <w:tbl>
      <w:tblPr>
        <w:tblW w:type="dxa" w:w="9600"/>
        <w:tblBorders>
          <w:top w:val="single" w:color="C9CCDB" w:sz="4"/>
          <w:left w:val="single" w:color="C9CCDB" w:sz="4"/>
          <w:bottom w:val="single" w:color="C9CCDB" w:sz="4"/>
          <w:right w:val="single" w:color="C9CCDB" w:sz="4"/>
          <w:insideH w:val="single" w:color="C9CCDB" w:sz="4"/>
          <w:insideV w:val="single" w:color="C9CCDB" w:sz="4"/>
        </w:tblBorders>
      </w:tblPr>
      <w:tblGrid>
        <w:gridCol w:w="1300"/>
        <w:gridCol w:w="2200"/>
        <w:gridCol w:w="2000"/>
        <w:gridCol w:w="1000"/>
        <w:gridCol w:w="3100"/>
      </w:tblGrid>
      <w:tr>
        <w:trPr>
          <w:cantSplit w:val="false"/>
          <w:tblHeader/>
        </w:trPr>
        <w:tc>
          <w:tcPr>
            <w:tcW w:type="dxa" w:w="13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ID</w:t>
            </w:r>
          </w:p>
        </w:tc>
        <w:tc>
          <w:tcPr>
            <w:tcW w:type="dxa" w:w="22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Caso de uso</w:t>
            </w:r>
          </w:p>
        </w:tc>
        <w:tc>
          <w:tcPr>
            <w:tcW w:type="dxa" w:w="20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Actor principal</w:t>
            </w:r>
          </w:p>
        </w:tc>
        <w:tc>
          <w:tcPr>
            <w:tcW w:type="dxa" w:w="10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Relación</w:t>
            </w:r>
          </w:p>
        </w:tc>
        <w:tc>
          <w:tcPr>
            <w:tcW w:type="dxa" w:w="3100"/>
            <w:shd w:fill="1E2761"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Estado real (Sprint 7)</w:t>
            </w:r>
          </w:p>
        </w:tc>
      </w:tr>
      <w:tr>
        <w:trPr>
          <w:cantSplit w:val="false"/>
        </w:trPr>
        <w:tc>
          <w:tcPr>
            <w:tcW w:type="dxa" w:w="13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UC-01</w:t>
            </w:r>
          </w:p>
        </w:tc>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Ingresar repositorio</w:t>
            </w:r>
          </w:p>
        </w:tc>
        <w:tc>
          <w:tcPr>
            <w:tcW w:type="dxa" w:w="2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Cliente (Tenant)</w:t>
            </w:r>
          </w:p>
        </w:tc>
        <w:tc>
          <w:tcPr>
            <w:tcW w:type="dxa" w:w="1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w:t>
            </w:r>
          </w:p>
        </w:tc>
        <w:tc>
          <w:tcPr>
            <w:tcW w:type="dxa" w:w="3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Implementado y probado</w:t>
            </w:r>
          </w:p>
        </w:tc>
      </w:tr>
      <w:tr>
        <w:trPr>
          <w:cantSplit w:val="false"/>
        </w:trPr>
        <w:tc>
          <w:tcPr>
            <w:tcW w:type="dxa" w:w="13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UC-02</w:t>
            </w:r>
          </w:p>
        </w:tc>
        <w:tc>
          <w:tcPr>
            <w:tcW w:type="dxa" w:w="2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Parsear código fuente</w:t>
            </w:r>
          </w:p>
        </w:tc>
        <w:tc>
          <w:tcPr>
            <w:tcW w:type="dxa" w:w="2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Ingeniero de Datos</w:t>
            </w:r>
          </w:p>
        </w:tc>
        <w:tc>
          <w:tcPr>
            <w:tcW w:type="dxa" w:w="1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Incluye UC-01</w:t>
            </w:r>
          </w:p>
        </w:tc>
        <w:tc>
          <w:tcPr>
            <w:tcW w:type="dxa" w:w="31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Implementado y probado</w:t>
            </w:r>
          </w:p>
        </w:tc>
      </w:tr>
      <w:tr>
        <w:trPr>
          <w:cantSplit w:val="false"/>
        </w:trPr>
        <w:tc>
          <w:tcPr>
            <w:tcW w:type="dxa" w:w="13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UC-03</w:t>
            </w:r>
          </w:p>
        </w:tc>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Construir grafo de conocimiento</w:t>
            </w:r>
          </w:p>
        </w:tc>
        <w:tc>
          <w:tcPr>
            <w:tcW w:type="dxa" w:w="2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Ingeniero de Datos</w:t>
            </w:r>
          </w:p>
        </w:tc>
        <w:tc>
          <w:tcPr>
            <w:tcW w:type="dxa" w:w="1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Incluye UC-02</w:t>
            </w:r>
          </w:p>
        </w:tc>
        <w:tc>
          <w:tcPr>
            <w:tcW w:type="dxa" w:w="3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En curso (KC-CM-01-2)</w:t>
            </w:r>
          </w:p>
        </w:tc>
      </w:tr>
      <w:tr>
        <w:trPr>
          <w:cantSplit w:val="false"/>
        </w:trPr>
        <w:tc>
          <w:tcPr>
            <w:tcW w:type="dxa" w:w="13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UC-04</w:t>
            </w:r>
          </w:p>
        </w:tc>
        <w:tc>
          <w:tcPr>
            <w:tcW w:type="dxa" w:w="2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Generar embeddings semánticos</w:t>
            </w:r>
          </w:p>
        </w:tc>
        <w:tc>
          <w:tcPr>
            <w:tcW w:type="dxa" w:w="2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Ingeniero de Datos</w:t>
            </w:r>
          </w:p>
        </w:tc>
        <w:tc>
          <w:tcPr>
            <w:tcW w:type="dxa" w:w="1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w:t>
            </w:r>
          </w:p>
        </w:tc>
        <w:tc>
          <w:tcPr>
            <w:tcW w:type="dxa" w:w="31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Implementado y probado</w:t>
            </w:r>
          </w:p>
        </w:tc>
      </w:tr>
      <w:tr>
        <w:trPr>
          <w:cantSplit w:val="false"/>
        </w:trPr>
        <w:tc>
          <w:tcPr>
            <w:tcW w:type="dxa" w:w="13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UC-05</w:t>
            </w:r>
          </w:p>
        </w:tc>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Configurar tenant (multi-tenant)</w:t>
            </w:r>
          </w:p>
        </w:tc>
        <w:tc>
          <w:tcPr>
            <w:tcW w:type="dxa" w:w="2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Arquitecto de Seguridad</w:t>
            </w:r>
          </w:p>
        </w:tc>
        <w:tc>
          <w:tcPr>
            <w:tcW w:type="dxa" w:w="1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w:t>
            </w:r>
          </w:p>
        </w:tc>
        <w:tc>
          <w:tcPr>
            <w:tcW w:type="dxa" w:w="3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Implementado y probado</w:t>
            </w:r>
          </w:p>
        </w:tc>
      </w:tr>
      <w:tr>
        <w:trPr>
          <w:cantSplit w:val="false"/>
        </w:trPr>
        <w:tc>
          <w:tcPr>
            <w:tcW w:type="dxa" w:w="13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UC-06</w:t>
            </w:r>
          </w:p>
        </w:tc>
        <w:tc>
          <w:tcPr>
            <w:tcW w:type="dxa" w:w="2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Registrar ticket normalizado (corrige: antes "Crear ticket")</w:t>
            </w:r>
          </w:p>
        </w:tc>
        <w:tc>
          <w:tcPr>
            <w:tcW w:type="dxa" w:w="2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Orquestador — no el Cliente directamente</w:t>
            </w:r>
          </w:p>
        </w:tc>
        <w:tc>
          <w:tcPr>
            <w:tcW w:type="dxa" w:w="1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Incluido por UC-11</w:t>
            </w:r>
          </w:p>
        </w:tc>
        <w:tc>
          <w:tcPr>
            <w:tcW w:type="dxa" w:w="31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5A5F7A"/>
                <w:sz w:val="20"/>
                <w:szCs w:val="20"/>
              </w:rPr>
              <w:t xml:space="preserve">Implementado, sin prueba dedicada</w:t>
            </w:r>
          </w:p>
        </w:tc>
      </w:tr>
      <w:tr>
        <w:trPr>
          <w:cantSplit w:val="false"/>
        </w:trPr>
        <w:tc>
          <w:tcPr>
            <w:tcW w:type="dxa" w:w="13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UC-07</w:t>
            </w:r>
          </w:p>
        </w:tc>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Transicionar estado del pipeline</w:t>
            </w:r>
          </w:p>
        </w:tc>
        <w:tc>
          <w:tcPr>
            <w:tcW w:type="dxa" w:w="2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Orquestador (Pipeline LLM)</w:t>
            </w:r>
          </w:p>
        </w:tc>
        <w:tc>
          <w:tcPr>
            <w:tcW w:type="dxa" w:w="1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Incluye UC-08</w:t>
            </w:r>
          </w:p>
        </w:tc>
        <w:tc>
          <w:tcPr>
            <w:tcW w:type="dxa" w:w="3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08D57"/>
                <w:sz w:val="20"/>
                <w:szCs w:val="20"/>
              </w:rPr>
              <w:t xml:space="preserve">En curso (KC-ORQ-01-4)</w:t>
            </w:r>
          </w:p>
        </w:tc>
      </w:tr>
      <w:tr>
        <w:trPr>
          <w:cantSplit w:val="false"/>
        </w:trPr>
        <w:tc>
          <w:tcPr>
            <w:tcW w:type="dxa" w:w="13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UC-08</w:t>
            </w:r>
          </w:p>
        </w:tc>
        <w:tc>
          <w:tcPr>
            <w:tcW w:type="dxa" w:w="2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Aprobar gate (Gate1 / Preflight)</w:t>
            </w:r>
          </w:p>
        </w:tc>
        <w:tc>
          <w:tcPr>
            <w:tcW w:type="dxa" w:w="2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Responsable Humano</w:t>
            </w:r>
          </w:p>
        </w:tc>
        <w:tc>
          <w:tcPr>
            <w:tcW w:type="dxa" w:w="1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w:t>
            </w:r>
          </w:p>
        </w:tc>
        <w:tc>
          <w:tcPr>
            <w:tcW w:type="dxa" w:w="31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B3261E"/>
                <w:sz w:val="20"/>
                <w:szCs w:val="20"/>
              </w:rPr>
              <w:t xml:space="preserve">Pendiente</w:t>
            </w:r>
          </w:p>
        </w:tc>
      </w:tr>
      <w:tr>
        <w:trPr>
          <w:cantSplit w:val="false"/>
        </w:trPr>
        <w:tc>
          <w:tcPr>
            <w:tcW w:type="dxa" w:w="13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UC-09</w:t>
            </w:r>
          </w:p>
        </w:tc>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Consultar estado del pipeline</w:t>
            </w:r>
          </w:p>
        </w:tc>
        <w:tc>
          <w:tcPr>
            <w:tcW w:type="dxa" w:w="2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Ingeniero de Datos</w:t>
            </w:r>
          </w:p>
        </w:tc>
        <w:tc>
          <w:tcPr>
            <w:tcW w:type="dxa" w:w="1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w:t>
            </w:r>
          </w:p>
        </w:tc>
        <w:tc>
          <w:tcPr>
            <w:tcW w:type="dxa" w:w="3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B3261E"/>
                <w:sz w:val="20"/>
                <w:szCs w:val="20"/>
              </w:rPr>
              <w:t xml:space="preserve">Pendiente (KC-ORQ-02-1)</w:t>
            </w:r>
          </w:p>
        </w:tc>
      </w:tr>
      <w:tr>
        <w:trPr>
          <w:cantSplit w:val="false"/>
        </w:trPr>
        <w:tc>
          <w:tcPr>
            <w:tcW w:type="dxa" w:w="13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UC-10</w:t>
            </w:r>
          </w:p>
        </w:tc>
        <w:tc>
          <w:tcPr>
            <w:tcW w:type="dxa" w:w="2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Aplicar políticas RLS</w:t>
            </w:r>
          </w:p>
        </w:tc>
        <w:tc>
          <w:tcPr>
            <w:tcW w:type="dxa" w:w="2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Arquitecto de Seguridad</w:t>
            </w:r>
          </w:p>
        </w:tc>
        <w:tc>
          <w:tcPr>
            <w:tcW w:type="dxa" w:w="1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w:t>
            </w:r>
          </w:p>
        </w:tc>
        <w:tc>
          <w:tcPr>
            <w:tcW w:type="dxa" w:w="31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Implementado y probado</w:t>
            </w:r>
          </w:p>
        </w:tc>
      </w:tr>
      <w:tr>
        <w:trPr>
          <w:cantSplit w:val="false"/>
        </w:trPr>
        <w:tc>
          <w:tcPr>
            <w:tcW w:type="dxa" w:w="13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UC-11 (nuevo)</w:t>
            </w:r>
          </w:p>
        </w:tc>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Normalizar webhook entrante</w:t>
            </w:r>
          </w:p>
        </w:tc>
        <w:tc>
          <w:tcPr>
            <w:tcW w:type="dxa" w:w="2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Sistema externo (Jira / GitHub / Help / Corestream)</w:t>
            </w:r>
          </w:p>
        </w:tc>
        <w:tc>
          <w:tcPr>
            <w:tcW w:type="dxa" w:w="1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Incluye UC-06</w:t>
            </w:r>
          </w:p>
        </w:tc>
        <w:tc>
          <w:tcPr>
            <w:tcW w:type="dxa" w:w="3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5A5F7A"/>
                <w:sz w:val="20"/>
                <w:szCs w:val="20"/>
              </w:rPr>
              <w:t xml:space="preserve">Implementado, sin prueba dedicada</w:t>
            </w:r>
          </w:p>
        </w:tc>
      </w:tr>
      <w:tr>
        <w:trPr>
          <w:cantSplit w:val="false"/>
        </w:trPr>
        <w:tc>
          <w:tcPr>
            <w:tcW w:type="dxa" w:w="13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UC-12 (nuevo)</w:t>
            </w:r>
          </w:p>
        </w:tc>
        <w:tc>
          <w:tcPr>
            <w:tcW w:type="dxa" w:w="22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Clasificar ticket (Triage)</w:t>
            </w:r>
          </w:p>
        </w:tc>
        <w:tc>
          <w:tcPr>
            <w:tcW w:type="dxa" w:w="2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Sistema LLM</w:t>
            </w:r>
          </w:p>
        </w:tc>
        <w:tc>
          <w:tcPr>
            <w:tcW w:type="dxa" w:w="1000"/>
            <w:shd w:fill="EDEFF7"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Incluido por UC-06</w:t>
            </w:r>
          </w:p>
        </w:tc>
        <w:tc>
          <w:tcPr>
            <w:tcW w:type="dxa" w:w="3100"/>
            <w:shd w:fill="EDEFF7" w:color="auto" w:val="clear"/>
            <w:tcMar>
              <w:top w:type="dxa" w:w="80"/>
              <w:left w:type="dxa" w:w="100"/>
              <w:bottom w:type="dxa" w:w="80"/>
              <w:right w:type="dxa" w:w="100"/>
            </w:tcMar>
            <w:vAlign w:val="center"/>
          </w:tcPr>
          <w:p>
            <w:pPr>
              <w:jc w:val="center"/>
            </w:pPr>
            <w:r>
              <w:rPr>
                <w:rFonts w:ascii="Calibri" w:cs="Calibri" w:eastAsia="Calibri" w:hAnsi="Calibri"/>
                <w:b/>
                <w:bCs/>
                <w:color w:val="5A5F7A"/>
                <w:sz w:val="20"/>
                <w:szCs w:val="20"/>
              </w:rPr>
              <w:t xml:space="preserve">Implementado, sin prueba dedicada</w:t>
            </w:r>
          </w:p>
        </w:tc>
      </w:tr>
      <w:tr>
        <w:trPr>
          <w:cantSplit w:val="false"/>
        </w:trPr>
        <w:tc>
          <w:tcPr>
            <w:tcW w:type="dxa" w:w="13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1E2761"/>
                <w:sz w:val="20"/>
                <w:szCs w:val="20"/>
              </w:rPr>
              <w:t xml:space="preserve">UC-13 (nuevo)</w:t>
            </w:r>
          </w:p>
        </w:tc>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Garantizar idempotencia de embeddings</w:t>
            </w:r>
          </w:p>
        </w:tc>
        <w:tc>
          <w:tcPr>
            <w:tcW w:type="dxa" w:w="2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Ingeniero de Datos</w:t>
            </w:r>
          </w:p>
        </w:tc>
        <w:tc>
          <w:tcPr>
            <w:tcW w:type="dxa" w:w="10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2B2B2B"/>
                <w:sz w:val="20"/>
                <w:szCs w:val="20"/>
              </w:rPr>
              <w:t xml:space="preserve">Incluido por UC-04</w:t>
            </w:r>
          </w:p>
        </w:tc>
        <w:tc>
          <w:tcPr>
            <w:tcW w:type="dxa" w:w="3100"/>
            <w:shd w:fill="FFFFFF" w:color="auto" w:val="clear"/>
            <w:tcMar>
              <w:top w:type="dxa" w:w="80"/>
              <w:left w:type="dxa" w:w="100"/>
              <w:bottom w:type="dxa" w:w="80"/>
              <w:right w:type="dxa" w:w="100"/>
            </w:tcMar>
            <w:vAlign w:val="center"/>
          </w:tcPr>
          <w:p>
            <w:pPr>
              <w:jc w:val="center"/>
            </w:pPr>
            <w:r>
              <w:rPr>
                <w:rFonts w:ascii="Calibri" w:cs="Calibri" w:eastAsia="Calibri" w:hAnsi="Calibri"/>
                <w:b/>
                <w:bCs/>
                <w:color w:val="2E7D32"/>
                <w:sz w:val="20"/>
                <w:szCs w:val="20"/>
              </w:rPr>
              <w:t xml:space="preserve">Implementado y probado</w:t>
            </w:r>
          </w:p>
        </w:tc>
      </w:tr>
    </w:tbl>
    <w:p>
      <w:pPr>
        <w:pStyle w:val="Heading1"/>
        <w:pBdr>
          <w:bottom w:val="single" w:color="1E2761" w:sz="12" w:space="4"/>
        </w:pBdr>
        <w:spacing w:after="160" w:before="360"/>
      </w:pPr>
      <w:r>
        <w:rPr>
          <w:rFonts w:ascii="Cambria" w:cs="Cambria" w:eastAsia="Cambria" w:hAnsi="Cambria"/>
          <w:b/>
          <w:bCs/>
          <w:color w:val="1E2761"/>
          <w:sz w:val="30"/>
          <w:szCs w:val="30"/>
        </w:rPr>
        <w:t xml:space="preserve">4. Corrección de alcance: UC-06</w:t>
      </w:r>
    </w:p>
    <w:p>
      <w:pPr>
        <w:spacing w:after="120" w:line="276"/>
      </w:pPr>
      <w:r>
        <w:rPr>
          <w:rFonts w:ascii="Calibri" w:cs="Calibri" w:eastAsia="Calibri" w:hAnsi="Calibri"/>
          <w:color w:val="2B2B2B"/>
          <w:sz w:val="22"/>
          <w:szCs w:val="22"/>
        </w:rPr>
        <w:t xml:space="preserve">El diagrama de Fase 1 describía UC-06 como "Crear ticket", con el Cliente (Tenant) como actor principal — como si el cliente creara el ticket directamente en la plataforma. El código real (apps/workers/kallicode_workers/normalizer.py) muestra un flujo distinto: los tickets se originan en sistemas externos (Jira, GitHub, el formulario de Help, o Corestream), llegan como eventos a core.webhook_inbox, y procesar_inbox() los normaliza y crea el ticket interno — el Cliente nunca interactúa directamente con un endpoint de "crear ticket". Por eso UC-06 se renombra a "Registrar ticket normalizado" y se agrega UC-11 ("Normalizar webhook entrante") como el caso de uso que realmente antecede a UC-06, con el Sistema externo como actor principal.</w:t>
      </w:r>
    </w:p>
    <w:p>
      <w:pPr>
        <w:pStyle w:val="Heading1"/>
        <w:pBdr>
          <w:bottom w:val="single" w:color="1E2761" w:sz="12" w:space="4"/>
        </w:pBdr>
        <w:spacing w:after="160" w:before="360"/>
      </w:pPr>
      <w:r>
        <w:rPr>
          <w:rFonts w:ascii="Cambria" w:cs="Cambria" w:eastAsia="Cambria" w:hAnsi="Cambria"/>
          <w:b/>
          <w:bCs/>
          <w:color w:val="1E2761"/>
          <w:sz w:val="30"/>
          <w:szCs w:val="30"/>
        </w:rPr>
        <w:t xml:space="preserve">5. Casos de uso agregados</w:t>
      </w:r>
    </w:p>
    <w:p>
      <w:pPr>
        <w:pStyle w:val="ListParagraph"/>
        <w:numPr>
          <w:ilvl w:val="0"/>
          <w:numId w:val="2"/>
        </w:numPr>
        <w:spacing w:after="80"/>
      </w:pPr>
      <w:r>
        <w:rPr>
          <w:rFonts w:ascii="Calibri" w:cs="Calibri" w:eastAsia="Calibri" w:hAnsi="Calibri"/>
          <w:b w:val="false"/>
          <w:bCs w:val="false"/>
          <w:color w:val="2B2B2B"/>
          <w:sz w:val="22"/>
          <w:szCs w:val="22"/>
        </w:rPr>
        <w:t xml:space="preserve">UC-11 — Normalizar webhook entrante: cubre la función real de procesar_inbox(), que hoy el relevamiento de Fase 1 no representaba en absoluto.</w:t>
      </w:r>
    </w:p>
    <w:p>
      <w:pPr>
        <w:pStyle w:val="ListParagraph"/>
        <w:numPr>
          <w:ilvl w:val="0"/>
          <w:numId w:val="2"/>
        </w:numPr>
        <w:spacing w:after="80"/>
      </w:pPr>
      <w:r>
        <w:rPr>
          <w:rFonts w:ascii="Calibri" w:cs="Calibri" w:eastAsia="Calibri" w:hAnsi="Calibri"/>
          <w:b w:val="false"/>
          <w:bCs w:val="false"/>
          <w:color w:val="2B2B2B"/>
          <w:sz w:val="22"/>
          <w:szCs w:val="22"/>
        </w:rPr>
        <w:t xml:space="preserve">UC-12 — Clasificar ticket (Triage): cubre el paso LLM triage.classify ejecutado en procesar_triage(), con el Sistema LLM como actor; no estaba representado como caso de uso independiente, solo mencionado de forma genérica dentro de UC-07.</w:t>
      </w:r>
    </w:p>
    <w:p>
      <w:pPr>
        <w:pStyle w:val="ListParagraph"/>
        <w:numPr>
          <w:ilvl w:val="0"/>
          <w:numId w:val="2"/>
        </w:numPr>
        <w:spacing w:after="80"/>
      </w:pPr>
      <w:r>
        <w:rPr>
          <w:rFonts w:ascii="Calibri" w:cs="Calibri" w:eastAsia="Calibri" w:hAnsi="Calibri"/>
          <w:b w:val="false"/>
          <w:bCs w:val="false"/>
          <w:color w:val="2B2B2B"/>
          <w:sz w:val="22"/>
          <w:szCs w:val="22"/>
        </w:rPr>
        <w:t xml:space="preserve">UC-13 — Garantizar idempotencia de embeddings: cubre específicamente el comportamiento de texto_hash en upsert_embedding_ticket / upsert_definition_embedding (RF-17), verificado por la suite KC-ONB-02-5; antes quedaba implícito dentro de UC-04.</w:t>
      </w:r>
    </w:p>
    <w:sectPr>
      <w:headerReference w:type="default" r:id="rId7"/>
      <w:footerReference w:type="default" r:id="rId8"/>
      <w:pgSz w:w="12240" w:h="15840" w:orient="portrait"/>
      <w:pgMar w:top="13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E96"/>
        <w:sz w:val="16"/>
        <w:szCs w:val="16"/>
      </w:rPr>
      <w:t xml:space="preserve">KalliCode Platform — Documento interno de equipo · Página </w:t>
    </w:r>
    <w:r>
      <w:rPr>
        <w:rFonts w:ascii="Calibri" w:cs="Calibri" w:eastAsia="Calibri" w:hAnsi="Calibri"/>
        <w:color w:val="7A7E96"/>
        <w:sz w:val="16"/>
        <w:szCs w:val="16"/>
      </w:rPr>
      <w:fldChar w:fldCharType="begin"/>
      <w:instrText xml:space="preserve">PAGE</w:instrText>
      <w:fldChar w:fldCharType="separate"/>
      <w:fldChar w:fldCharType="end"/>
    </w:r>
    <w:r>
      <w:rPr>
        <w:rFonts w:ascii="Calibri" w:cs="Calibri" w:eastAsia="Calibri" w:hAnsi="Calibri"/>
        <w:color w:val="7A7E96"/>
        <w:sz w:val="16"/>
        <w:szCs w:val="16"/>
      </w:rPr>
      <w:t xml:space="preserve"> de </w:t>
    </w:r>
    <w:r>
      <w:rPr>
        <w:rFonts w:ascii="Calibri" w:cs="Calibri" w:eastAsia="Calibri" w:hAnsi="Calibri"/>
        <w:color w:val="7A7E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57" w:sz="6" w:space="4"/>
      </w:pBdr>
      <w:jc w:val="right"/>
    </w:pPr>
    <w:r>
      <w:rPr>
        <w:rFonts w:ascii="Calibri" w:cs="Calibri" w:eastAsia="Calibri" w:hAnsi="Calibri"/>
        <w:b/>
        <w:bCs/>
        <w:color w:val="1E2761"/>
        <w:sz w:val="16"/>
        <w:szCs w:val="16"/>
      </w:rPr>
      <w:t xml:space="preserve">KalliCode Platform · Diagrama de Casos de 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Calibri" w:cs="Calibri" w:eastAsia="Calibri" w:hAnsi="Calibri"/>
        <w:color w:val="1E276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fa317ca9b37eee0898d9d2acaf03fc4f581a83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2026-10-10T01:48:27.313Z</dcterms:created>
  <dcterms:modified xsi:type="dcterms:W3CDTF">2026-10-10T01:48:27.313Z</dcterms:modified>
</cp:coreProperties>
</file>

<file path=docProps/custom.xml><?xml version="1.0" encoding="utf-8"?>
<Properties xmlns="http://schemas.openxmlformats.org/officeDocument/2006/custom-properties" xmlns:vt="http://schemas.openxmlformats.org/officeDocument/2006/docPropsVTypes"/>
</file>