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jc w:val="center"/>
      </w:pPr>
      <w:r>
        <w:rPr>
          <w:rFonts w:ascii="Cambria" w:cs="Cambria" w:eastAsia="Cambria" w:hAnsi="Cambria"/>
          <w:b/>
          <w:bCs/>
          <w:color w:val="1E2761"/>
          <w:sz w:val="64"/>
          <w:szCs w:val="64"/>
        </w:rPr>
        <w:t xml:space="preserve">KALLICODE</w:t>
      </w:r>
    </w:p>
    <w:p>
      <w:pPr>
        <w:spacing w:after="320" w:before="80"/>
        <w:jc w:val="center"/>
      </w:pPr>
      <w:r>
        <w:rPr>
          <w:rFonts w:ascii="Calibri" w:cs="Calibri" w:eastAsia="Calibri" w:hAnsi="Calibri"/>
          <w:b/>
          <w:bCs/>
          <w:color w:val="B08D57"/>
          <w:sz w:val="24"/>
          <w:szCs w:val="24"/>
        </w:rPr>
        <w:t xml:space="preserve">PLATFORM · PORTAFOLIO DE TÍTULO</w:t>
      </w:r>
    </w:p>
    <w:p>
      <w:pPr>
        <w:spacing w:after="160"/>
        <w:jc w:val="center"/>
      </w:pPr>
      <w:r>
        <w:rPr>
          <w:rFonts w:ascii="Cambria" w:cs="Cambria" w:eastAsia="Cambria" w:hAnsi="Cambria"/>
          <w:b/>
          <w:bCs/>
          <w:color w:val="121A47"/>
          <w:sz w:val="44"/>
          <w:szCs w:val="44"/>
        </w:rPr>
        <w:t xml:space="preserve">Diagramas de Actividad</w:t>
      </w:r>
    </w:p>
    <w:p>
      <w:pPr>
        <w:spacing w:after="900"/>
        <w:jc w:val="center"/>
      </w:pPr>
      <w:r>
        <w:rPr>
          <w:rFonts w:ascii="Calibri" w:cs="Calibri" w:eastAsia="Calibri" w:hAnsi="Calibri"/>
          <w:i/>
          <w:iCs/>
          <w:color w:val="2B2B2B"/>
          <w:sz w:val="24"/>
          <w:szCs w:val="24"/>
        </w:rPr>
        <w:t xml:space="preserve">KalliCode Platform — versión actualizada a Fase 2, con ambos diagramas construidos desde cero</w:t>
      </w:r>
    </w:p>
    <w:tbl>
      <w:tblPr>
        <w:tblW w:type="dxa" w:w="7200"/>
        <w:jc w:val="center"/>
        <w:tblBorders>
          <w:top w:val="single" w:color="C9CCDB" w:sz="4"/>
          <w:left w:val="single" w:color="C9CCDB" w:sz="4"/>
          <w:bottom w:val="single" w:color="C9CCDB" w:sz="4"/>
          <w:right w:val="single" w:color="C9CCDB" w:sz="4"/>
          <w:insideH w:val="single" w:color="C9CCDB" w:sz="4"/>
          <w:insideV w:val="single" w:color="C9CCDB" w:sz="4"/>
        </w:tblBorders>
      </w:tblPr>
      <w:tblGrid>
        <w:gridCol w:w="2400"/>
        <w:gridCol w:w="4800"/>
      </w:tblGrid>
      <w:tr>
        <w:tc>
          <w:tcPr>
            <w:tcW w:type="dxa" w:w="2400"/>
            <w:shd w:fill="1E276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Proyecto</w:t>
            </w:r>
          </w:p>
        </w:tc>
        <w:tc>
          <w:tcPr>
            <w:tcW w:type="dxa" w:w="4800"/>
            <w:shd w:fill="EDEF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KalliCode Platform — Fusión CodeMapping y Fábrica de Producción de Software (E1+E2)</w:t>
            </w:r>
          </w:p>
        </w:tc>
      </w:tr>
      <w:tr>
        <w:tc>
          <w:tcPr>
            <w:tcW w:type="dxa" w:w="2400"/>
            <w:shd w:fill="1E276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Documento base</w:t>
            </w:r>
          </w:p>
        </w:tc>
        <w:tc>
          <w:tcPr>
            <w:tcW w:type="dxa" w:w="4800"/>
            <w:shd w:fill="EDEF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Diagramas_Actividad_KalliCode.docx (Fase 1)</w:t>
            </w:r>
          </w:p>
        </w:tc>
      </w:tr>
      <w:tr>
        <w:tc>
          <w:tcPr>
            <w:tcW w:type="dxa" w:w="2400"/>
            <w:shd w:fill="1E276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Documento</w:t>
            </w:r>
          </w:p>
        </w:tc>
        <w:tc>
          <w:tcPr>
            <w:tcW w:type="dxa" w:w="4800"/>
            <w:shd w:fill="EDEF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Diagramas de Actividad</w:t>
            </w:r>
          </w:p>
        </w:tc>
      </w:tr>
      <w:tr>
        <w:tc>
          <w:tcPr>
            <w:tcW w:type="dxa" w:w="2400"/>
            <w:shd w:fill="1E276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4800"/>
            <w:shd w:fill="EDEF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2.0 — agrega ambos diagramas (Fase 1 solo tenía los títulos y una frase descriptiva, sin diagrama)</w:t>
            </w:r>
          </w:p>
        </w:tc>
      </w:tr>
      <w:tr>
        <w:tc>
          <w:tcPr>
            <w:tcW w:type="dxa" w:w="2400"/>
            <w:shd w:fill="1E276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tcW w:type="dxa" w:w="4800"/>
            <w:shd w:fill="EDEF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09-10-2026</w:t>
            </w:r>
          </w:p>
        </w:tc>
      </w:tr>
      <w:tr>
        <w:tc>
          <w:tcPr>
            <w:tcW w:type="dxa" w:w="2400"/>
            <w:shd w:fill="1E276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Actualizado por</w:t>
            </w:r>
          </w:p>
        </w:tc>
        <w:tc>
          <w:tcPr>
            <w:tcW w:type="dxa" w:w="4800"/>
            <w:shd w:fill="EDEF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Francisco Salinas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000" w:right="1100" w:bottom="1000" w:left="110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E2761" w:sz="12" w:space="4"/>
        </w:pBdr>
        <w:spacing w:after="160" w:before="360"/>
      </w:pPr>
      <w:r>
        <w:rPr>
          <w:rFonts w:ascii="Cambria" w:cs="Cambria" w:eastAsia="Cambria" w:hAnsi="Cambria"/>
          <w:b/>
          <w:bCs/>
          <w:color w:val="1E2761"/>
          <w:sz w:val="30"/>
          <w:szCs w:val="30"/>
        </w:rPr>
        <w:t xml:space="preserve">1. Novedad de esta versión</w:t>
      </w:r>
    </w:p>
    <w:p>
      <w:pPr>
        <w:spacing w:after="120" w:line="276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El documento de Fase 1 (Diagramas_Actividad_KalliCode.docx) contenía únicamente los títulos de dos diagramas y una frase descriptiva de una línea cada uno, sin ningún diagrama de actividad real. Esta versión 2.0 construye ambos diagramas desde cero, a partir del comportamiento verificado del código (vectores.py, normalizer.py) y de la especificación de clases y casos de uso ya actualizada en los documentos Diagrama de Clases v2.0 y Diagrama de Casos de Uso v2.0 — por lo que los nombres de método, estados y validaciones que aparecen aquí son consistentes con esos dos documentos.</w:t>
      </w:r>
    </w:p>
    <w:p>
      <w:pPr>
        <w:pStyle w:val="Heading1"/>
        <w:pBdr>
          <w:bottom w:val="single" w:color="1E2761" w:sz="12" w:space="4"/>
        </w:pBdr>
        <w:spacing w:after="160" w:before="360"/>
      </w:pPr>
      <w:r>
        <w:rPr>
          <w:rFonts w:ascii="Cambria" w:cs="Cambria" w:eastAsia="Cambria" w:hAnsi="Cambria"/>
          <w:b/>
          <w:bCs/>
          <w:color w:val="1E2761"/>
          <w:sz w:val="30"/>
          <w:szCs w:val="30"/>
        </w:rPr>
        <w:t xml:space="preserve">2. Ingesta y construcción del grafo de conocimiento (CodeMapping)</w:t>
      </w:r>
    </w:p>
    <w:p>
      <w:pPr>
        <w:spacing w:after="120" w:line="276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Describe el flujo desde que el cliente ingresa un repositorio hasta que su grafo de conocimiento queda almacenado en PostgreSQL + pgvector. Incluye, como paso obligatorio y explícito, el establecimiento del contexto de sesión RLS (SET LOCAL app.tenant_id) — un paso que el DDL original de Fase 1 nunca forzó a nivel de rol de base de datos (ver Addendum — Modelo de Base de Datos, sección 6, hallazgo DEF-01), y que aquí se marca en rojo como punto crítico del flujo para que no se repita el mismo vacío de seguridad en el diseño.</w:t>
      </w:r>
    </w:p>
    <w:p>
      <w:pPr>
        <w:spacing w:after="60" w:before="100"/>
        <w:jc w:val="center"/>
      </w:pPr>
      <w:r>
        <w:drawing>
          <wp:inline distT="0" distB="0" distL="0" distR="0">
            <wp:extent cx="4381500" cy="476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7A7E96"/>
          <w:sz w:val="18"/>
          <w:szCs w:val="18"/>
        </w:rPr>
        <w:t xml:space="preserve">Parte 1 de 2</w:t>
      </w:r>
    </w:p>
    <w:p>
      <w:pPr>
        <w:spacing w:after="60" w:before="100"/>
        <w:jc w:val="center"/>
      </w:pPr>
      <w:r>
        <w:drawing>
          <wp:inline distT="0" distB="0" distL="0" distR="0">
            <wp:extent cx="4381500" cy="4391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7A7E96"/>
          <w:sz w:val="18"/>
          <w:szCs w:val="18"/>
        </w:rPr>
        <w:t xml:space="preserve">Parte 2 de 2</w:t>
      </w:r>
    </w:p>
    <w:p>
      <w:pPr>
        <w:spacing w:after="60" w:before="40"/>
        <w:jc w:val="center"/>
      </w:pPr>
      <w:r>
        <w:rPr>
          <w:rFonts w:ascii="Calibri" w:cs="Calibri" w:eastAsia="Calibri" w:hAnsi="Calibri"/>
          <w:b/>
          <w:bCs/>
          <w:color w:val="1E2761"/>
          <w:sz w:val="22"/>
          <w:szCs w:val="22"/>
        </w:rPr>
        <w:t xml:space="preserve">Notación: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rombo = decisión; círculo lleno = inicio; círculo con anillo = fin (rojo = fin con fallo); franja de color al costado izquierdo de cada actividad = actor responsable (dorado = cliente/sistema externo, navy = orquestador, gris-azulado = LLM, verde = base de datos, rojo = responsable humano).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2B2B2B"/>
          <w:sz w:val="22"/>
          <w:szCs w:val="22"/>
        </w:rPr>
        <w:t xml:space="preserve">El paso "¿texto_hash ya existe?" implementa directamente RF-17 / UC-13 (idempotencia de embeddings): si el hash del contenido no cambió, se omite el recálculo del embedding y se reutiliza el existente.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2B2B2B"/>
          <w:sz w:val="22"/>
          <w:szCs w:val="22"/>
        </w:rPr>
        <w:t xml:space="preserve">La bifurcación por umbral de confianza (≥ 0.75) replica la regla documentada en Concept.vincular_definicion(): por debajo del umbral, el enlace no se crea automáticamente — se encola en CurationQueueItem para revisión humana, en vez de arriesgar una relación semántica incorrecta en el grafo.</w:t>
      </w:r>
    </w:p>
    <w:p>
      <w:pPr>
        <w:pStyle w:val="Heading1"/>
        <w:pBdr>
          <w:bottom w:val="single" w:color="1E2761" w:sz="12" w:space="4"/>
        </w:pBdr>
        <w:spacing w:after="160" w:before="360"/>
      </w:pPr>
      <w:r>
        <w:rPr>
          <w:rFonts w:ascii="Cambria" w:cs="Cambria" w:eastAsia="Cambria" w:hAnsi="Cambria"/>
          <w:b/>
          <w:bCs/>
          <w:color w:val="1E2761"/>
          <w:sz w:val="30"/>
          <w:szCs w:val="30"/>
        </w:rPr>
        <w:t xml:space="preserve">3. Flujo de un ticket en el pipeline de producción (Fábrica)</w:t>
      </w:r>
    </w:p>
    <w:p>
      <w:pPr>
        <w:spacing w:after="120" w:line="276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Describe cómo un ticket avanza por el pipeline de 16 estados, deteniéndose en los tres gates obligatorios del dominio (Gate 1 = Spec, Gate 2 = Pull Request, Gate 3 = Preflight/Deploy, según la enumeración real de Gate.numero_gate en el Diagrama de Clases v2.0), cada uno con aprobación humana explícita antes de continuar. También muestra el límite de reintentos (incrementar_iteracion() / es_terminal()) que previene ciclos infinitos cuando una Spec o un PR son rechazados repetidamente.</w:t>
      </w:r>
    </w:p>
    <w:p>
      <w:pPr>
        <w:spacing w:after="60" w:before="100"/>
        <w:jc w:val="center"/>
      </w:pPr>
      <w:r>
        <w:drawing>
          <wp:inline distT="0" distB="0" distL="0" distR="0">
            <wp:extent cx="4381500" cy="3933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7A7E96"/>
          <w:sz w:val="18"/>
          <w:szCs w:val="18"/>
        </w:rPr>
        <w:t xml:space="preserve">Parte 1 de 3</w:t>
      </w:r>
    </w:p>
    <w:p>
      <w:pPr>
        <w:spacing w:after="60" w:before="100"/>
        <w:jc w:val="center"/>
      </w:pPr>
      <w:r>
        <w:drawing>
          <wp:inline distT="0" distB="0" distL="0" distR="0">
            <wp:extent cx="4381500" cy="3933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7A7E96"/>
          <w:sz w:val="18"/>
          <w:szCs w:val="18"/>
        </w:rPr>
        <w:t xml:space="preserve">Parte 2 de 3</w:t>
      </w:r>
    </w:p>
    <w:p>
      <w:pPr>
        <w:spacing w:after="60" w:before="100"/>
        <w:jc w:val="center"/>
      </w:pPr>
      <w:r>
        <w:drawing>
          <wp:inline distT="0" distB="0" distL="0" distR="0">
            <wp:extent cx="4381500" cy="3533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7A7E96"/>
          <w:sz w:val="18"/>
          <w:szCs w:val="18"/>
        </w:rPr>
        <w:t xml:space="preserve">Parte 3 de 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2B2B2B"/>
          <w:sz w:val="22"/>
          <w:szCs w:val="22"/>
        </w:rPr>
        <w:t xml:space="preserve">El ticket nunca lo crea el cliente directamente: el flujo arranca con un evento de webhook externo, normalizado por UC-11 y registrado como UC-06 — la misma corrección de alcance ya documentada en el Diagrama de Casos de Uso v2.0 (antes, Fase 1 mostraba al Cliente como actor que "crea" el ticket).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2B2B2B"/>
          <w:sz w:val="22"/>
          <w:szCs w:val="22"/>
        </w:rPr>
        <w:t xml:space="preserve">Los tres bucles de reintento (Spec rechazada, diff fuera de scope, PR o Gate 3 rechazados) regresan siempre a un punto de trabajo anterior, nunca directamente a un gate — el responsable humano no vuelve a aprobar hasta que el artefacto fue corregido.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2B2B2B"/>
          <w:sz w:val="22"/>
          <w:szCs w:val="22"/>
        </w:rPr>
        <w:t xml:space="preserve">El límite de iteraciones (Job.incrementar_iteracion() / es_terminal()) solo se dibujó explícitamente en el bucle de Gate 1 para no saturar el diagrama; el mismo mecanismo aplica, en la implementación real, a cualquiera de los tres gates.</w:t>
      </w:r>
    </w:p>
    <w:sectPr>
      <w:headerReference w:type="default" r:id="rId7"/>
      <w:footerReference w:type="default" r:id="rId8"/>
      <w:pgSz w:w="12240" w:h="15840" w:orient="portrait"/>
      <w:pgMar w:top="1300" w:right="1100" w:bottom="12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A7E96"/>
        <w:sz w:val="16"/>
        <w:szCs w:val="16"/>
      </w:rPr>
      <w:t xml:space="preserve">KalliCode Platform — Documento interno de equipo · Página </w:t>
    </w:r>
    <w:r>
      <w:rPr>
        <w:rFonts w:ascii="Calibri" w:cs="Calibri" w:eastAsia="Calibri" w:hAnsi="Calibri"/>
        <w:color w:val="7A7E9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7A7E96"/>
        <w:sz w:val="16"/>
        <w:szCs w:val="16"/>
      </w:rPr>
      <w:t xml:space="preserve"> de </w:t>
    </w:r>
    <w:r>
      <w:rPr>
        <w:rFonts w:ascii="Calibri" w:cs="Calibri" w:eastAsia="Calibri" w:hAnsi="Calibri"/>
        <w:color w:val="7A7E9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08D57" w:sz="6" w:space="4"/>
      </w:pBdr>
      <w:jc w:val="right"/>
    </w:pPr>
    <w:r>
      <w:rPr>
        <w:rFonts w:ascii="Calibri" w:cs="Calibri" w:eastAsia="Calibri" w:hAnsi="Calibri"/>
        <w:b/>
        <w:bCs/>
        <w:color w:val="1E2761"/>
        <w:sz w:val="16"/>
        <w:szCs w:val="16"/>
      </w:rPr>
      <w:t xml:space="preserve">KalliCode Platform · Diagramas de Actividad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rFonts w:ascii="Calibri" w:cs="Calibri" w:eastAsia="Calibri" w:hAnsi="Calibri"/>
        <w:color w:val="1E2761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2B2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5d6e4d0f1d5f6416a4aba331d55f0aeaa1a9a73.png"/><Relationship Id="rId10" Type="http://schemas.openxmlformats.org/officeDocument/2006/relationships/image" Target="media/2b3f67e3909a735e3aee3cd758d4090e21e40dce.png"/><Relationship Id="rId11" Type="http://schemas.openxmlformats.org/officeDocument/2006/relationships/image" Target="media/3f71cd4c14d59737e2c35ddeec9bca373ac1aa65.png"/><Relationship Id="rId12" Type="http://schemas.openxmlformats.org/officeDocument/2006/relationships/image" Target="media/12946394d5cae65c6caf59a89af378ed22f0e22e.png"/><Relationship Id="rId13" Type="http://schemas.openxmlformats.org/officeDocument/2006/relationships/image" Target="media/b6b7b0a5e7b1673069c16a8fc1e6345a109bedff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2026-10-10T02:06:29.256Z</dcterms:created>
  <dcterms:modified xsi:type="dcterms:W3CDTF">2026-10-10T02:06:29.259Z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