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2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Cambria" w:cs="Cambria" w:eastAsia="Cambria" w:hAnsi="Cambria"/>
          <w:b w:val="1"/>
          <w:bCs w:val="1"/>
          <w:color w:val="1e2761"/>
          <w:sz w:val="64"/>
          <w:szCs w:val="64"/>
          <w:rtl w:val="0"/>
        </w:rPr>
        <w:t xml:space="preserve">KALLICODE</w:t>
      </w:r>
      <w:r w:rsidDel="00000000" w:rsidR="00000000" w:rsidRPr="00000000">
        <w:rPr>
          <w:rtl w:val="0"/>
        </w:rPr>
      </w:r>
    </w:p>
    <w:p w:rsidR="00000000" w:rsidDel="00000000" w:rsidP="00000000" w:rsidRDefault="00000000" w:rsidRPr="00000000" w14:paraId="00000003">
      <w:pPr>
        <w:spacing w:after="320" w:before="80" w:lineRule="auto"/>
        <w:jc w:val="center"/>
        <w:rPr/>
      </w:pPr>
      <w:r w:rsidDel="00000000" w:rsidR="00000000" w:rsidRPr="00000000">
        <w:rPr>
          <w:rFonts w:ascii="Calibri" w:cs="Calibri" w:eastAsia="Calibri" w:hAnsi="Calibri"/>
          <w:b w:val="1"/>
          <w:bCs w:val="1"/>
          <w:color w:val="b08d57"/>
          <w:sz w:val="24"/>
          <w:szCs w:val="24"/>
          <w:rtl w:val="0"/>
        </w:rPr>
        <w:t xml:space="preserve">PLATFORM · PORTAFOLIO DE TÍTULO</w:t>
      </w:r>
      <w:r w:rsidDel="00000000" w:rsidR="00000000" w:rsidRPr="00000000">
        <w:rPr>
          <w:rtl w:val="0"/>
        </w:rPr>
      </w:r>
    </w:p>
    <w:p w:rsidR="00000000" w:rsidDel="00000000" w:rsidP="00000000" w:rsidRDefault="00000000" w:rsidRPr="00000000" w14:paraId="00000004">
      <w:pPr>
        <w:spacing w:after="160" w:lineRule="auto"/>
        <w:jc w:val="center"/>
        <w:rPr/>
      </w:pPr>
      <w:r w:rsidDel="00000000" w:rsidR="00000000" w:rsidRPr="00000000">
        <w:rPr>
          <w:rFonts w:ascii="Cambria" w:cs="Cambria" w:eastAsia="Cambria" w:hAnsi="Cambria"/>
          <w:b w:val="1"/>
          <w:bCs w:val="1"/>
          <w:color w:val="121a47"/>
          <w:sz w:val="44"/>
          <w:szCs w:val="44"/>
          <w:rtl w:val="0"/>
        </w:rPr>
        <w:t xml:space="preserve">Plan de Pruebas</w:t>
      </w:r>
      <w:r w:rsidDel="00000000" w:rsidR="00000000" w:rsidRPr="00000000">
        <w:rPr>
          <w:rtl w:val="0"/>
        </w:rPr>
      </w:r>
    </w:p>
    <w:p w:rsidR="00000000" w:rsidDel="00000000" w:rsidP="00000000" w:rsidRDefault="00000000" w:rsidRPr="00000000" w14:paraId="00000005">
      <w:pPr>
        <w:spacing w:after="900" w:lineRule="auto"/>
        <w:jc w:val="center"/>
        <w:rPr/>
      </w:pPr>
      <w:r w:rsidDel="00000000" w:rsidR="00000000" w:rsidRPr="00000000">
        <w:rPr>
          <w:rFonts w:ascii="Calibri" w:cs="Calibri" w:eastAsia="Calibri" w:hAnsi="Calibri"/>
          <w:i w:val="1"/>
          <w:iCs w:val="1"/>
          <w:color w:val="2b2b2b"/>
          <w:sz w:val="24"/>
          <w:szCs w:val="24"/>
          <w:rtl w:val="0"/>
        </w:rPr>
        <w:t xml:space="preserve">Estrategia, alcance y criterios de calidad para KalliCode Platform</w:t>
      </w:r>
      <w:r w:rsidDel="00000000" w:rsidR="00000000" w:rsidRPr="00000000">
        <w:rPr>
          <w:rtl w:val="0"/>
        </w:rPr>
      </w:r>
    </w:p>
    <w:tbl>
      <w:tblPr>
        <w:tblStyle w:val="Table1"/>
        <w:tblW w:w="7200.0" w:type="dxa"/>
        <w:jc w:val="center"/>
        <w:tblBorders>
          <w:top w:color="c9ccdb" w:space="0" w:sz="4" w:val="single"/>
          <w:left w:color="c9ccdb" w:space="0" w:sz="4" w:val="single"/>
          <w:bottom w:color="c9ccdb" w:space="0" w:sz="4" w:val="single"/>
          <w:right w:color="c9ccdb" w:space="0" w:sz="4" w:val="single"/>
          <w:insideH w:color="c9ccdb" w:space="0" w:sz="4" w:val="single"/>
          <w:insideV w:color="c9ccdb" w:space="0" w:sz="4" w:val="single"/>
        </w:tblBorders>
        <w:tblLayout w:type="fixed"/>
        <w:tblLook w:val="0000"/>
      </w:tblPr>
      <w:tblGrid>
        <w:gridCol w:w="2400"/>
        <w:gridCol w:w="4800"/>
        <w:tblGridChange w:id="0">
          <w:tblGrid>
            <w:gridCol w:w="2400"/>
            <w:gridCol w:w="4800"/>
          </w:tblGrid>
        </w:tblGridChange>
      </w:tblGrid>
      <w:tr>
        <w:trPr>
          <w:cantSplit w:val="0"/>
          <w:tblHeader w:val="0"/>
        </w:trPr>
        <w:tc>
          <w:tcPr>
            <w:shd w:fill="1e2761" w:val="clear"/>
            <w:tcMar>
              <w:top w:w="80.0" w:type="dxa"/>
              <w:left w:w="100.0" w:type="dxa"/>
              <w:bottom w:w="80.0" w:type="dxa"/>
              <w:right w:w="100.0" w:type="dxa"/>
            </w:tcMar>
            <w:vAlign w:val="center"/>
          </w:tcPr>
          <w:p w:rsidR="00000000" w:rsidDel="00000000" w:rsidP="00000000" w:rsidRDefault="00000000" w:rsidRPr="00000000" w14:paraId="00000006">
            <w:pPr>
              <w:jc w:val="left"/>
              <w:rPr/>
            </w:pPr>
            <w:r w:rsidDel="00000000" w:rsidR="00000000" w:rsidRPr="00000000">
              <w:rPr>
                <w:rFonts w:ascii="Calibri" w:cs="Calibri" w:eastAsia="Calibri" w:hAnsi="Calibri"/>
                <w:b w:val="1"/>
                <w:bCs w:val="1"/>
                <w:color w:val="ffffff"/>
                <w:sz w:val="20"/>
                <w:szCs w:val="20"/>
                <w:rtl w:val="0"/>
              </w:rPr>
              <w:t xml:space="preserve">Proyecto</w:t>
            </w:r>
            <w:r w:rsidDel="00000000" w:rsidR="00000000" w:rsidRPr="00000000">
              <w:rPr>
                <w:rtl w:val="0"/>
              </w:rPr>
            </w:r>
          </w:p>
        </w:tc>
        <w:tc>
          <w:tcPr>
            <w:shd w:fill="edeff7" w:val="clear"/>
            <w:tcMar>
              <w:top w:w="80.0" w:type="dxa"/>
              <w:left w:w="100.0" w:type="dxa"/>
              <w:bottom w:w="80.0" w:type="dxa"/>
              <w:right w:w="100.0" w:type="dxa"/>
            </w:tcMar>
            <w:vAlign w:val="center"/>
          </w:tcPr>
          <w:p w:rsidR="00000000" w:rsidDel="00000000" w:rsidP="00000000" w:rsidRDefault="00000000" w:rsidRPr="00000000" w14:paraId="00000007">
            <w:pPr>
              <w:jc w:val="left"/>
              <w:rPr/>
            </w:pPr>
            <w:r w:rsidDel="00000000" w:rsidR="00000000" w:rsidRPr="00000000">
              <w:rPr>
                <w:rFonts w:ascii="Calibri" w:cs="Calibri" w:eastAsia="Calibri" w:hAnsi="Calibri"/>
                <w:b w:val="0"/>
                <w:bCs w:val="0"/>
                <w:color w:val="2b2b2b"/>
                <w:sz w:val="20"/>
                <w:szCs w:val="20"/>
                <w:rtl w:val="0"/>
              </w:rPr>
              <w:t xml:space="preserve">KalliCode Platform —</w:t>
            </w:r>
            <w:r w:rsidDel="00000000" w:rsidR="00000000" w:rsidRPr="00000000">
              <w:rPr>
                <w:sz w:val="20"/>
                <w:szCs w:val="20"/>
                <w:rtl w:val="0"/>
              </w:rPr>
              <w:t xml:space="preserve">Codemapping - Database</w:t>
            </w:r>
            <w:r w:rsidDel="00000000" w:rsidR="00000000" w:rsidRPr="00000000">
              <w:rPr>
                <w:rtl w:val="0"/>
              </w:rPr>
            </w:r>
          </w:p>
        </w:tc>
      </w:tr>
      <w:tr>
        <w:trPr>
          <w:cantSplit w:val="0"/>
          <w:tblHeader w:val="0"/>
        </w:trPr>
        <w:tc>
          <w:tcPr>
            <w:shd w:fill="1e2761" w:val="clear"/>
            <w:tcMar>
              <w:top w:w="80.0" w:type="dxa"/>
              <w:left w:w="100.0" w:type="dxa"/>
              <w:bottom w:w="80.0" w:type="dxa"/>
              <w:right w:w="100.0" w:type="dxa"/>
            </w:tcMar>
            <w:vAlign w:val="center"/>
          </w:tcPr>
          <w:p w:rsidR="00000000" w:rsidDel="00000000" w:rsidP="00000000" w:rsidRDefault="00000000" w:rsidRPr="00000000" w14:paraId="00000008">
            <w:pPr>
              <w:jc w:val="left"/>
              <w:rPr/>
            </w:pPr>
            <w:r w:rsidDel="00000000" w:rsidR="00000000" w:rsidRPr="00000000">
              <w:rPr>
                <w:rFonts w:ascii="Calibri" w:cs="Calibri" w:eastAsia="Calibri" w:hAnsi="Calibri"/>
                <w:b w:val="1"/>
                <w:bCs w:val="1"/>
                <w:color w:val="ffffff"/>
                <w:sz w:val="20"/>
                <w:szCs w:val="20"/>
                <w:rtl w:val="0"/>
              </w:rPr>
              <w:t xml:space="preserve">Fase</w:t>
            </w:r>
            <w:r w:rsidDel="00000000" w:rsidR="00000000" w:rsidRPr="00000000">
              <w:rPr>
                <w:rtl w:val="0"/>
              </w:rPr>
            </w:r>
          </w:p>
        </w:tc>
        <w:tc>
          <w:tcPr>
            <w:shd w:fill="edeff7" w:val="clear"/>
            <w:tcMar>
              <w:top w:w="80.0" w:type="dxa"/>
              <w:left w:w="100.0" w:type="dxa"/>
              <w:bottom w:w="80.0" w:type="dxa"/>
              <w:right w:w="100.0" w:type="dxa"/>
            </w:tcMar>
            <w:vAlign w:val="center"/>
          </w:tcPr>
          <w:p w:rsidR="00000000" w:rsidDel="00000000" w:rsidP="00000000" w:rsidRDefault="00000000" w:rsidRPr="00000000" w14:paraId="00000009">
            <w:pPr>
              <w:jc w:val="left"/>
              <w:rPr/>
            </w:pPr>
            <w:r w:rsidDel="00000000" w:rsidR="00000000" w:rsidRPr="00000000">
              <w:rPr>
                <w:rFonts w:ascii="Calibri" w:cs="Calibri" w:eastAsia="Calibri" w:hAnsi="Calibri"/>
                <w:b w:val="0"/>
                <w:bCs w:val="0"/>
                <w:color w:val="2b2b2b"/>
                <w:sz w:val="20"/>
                <w:szCs w:val="20"/>
                <w:rtl w:val="0"/>
              </w:rPr>
              <w:t xml:space="preserve">Fase 2 — Documentos de Gestión de Pruebas</w:t>
            </w:r>
            <w:r w:rsidDel="00000000" w:rsidR="00000000" w:rsidRPr="00000000">
              <w:rPr>
                <w:rtl w:val="0"/>
              </w:rPr>
            </w:r>
          </w:p>
        </w:tc>
      </w:tr>
      <w:tr>
        <w:trPr>
          <w:cantSplit w:val="0"/>
          <w:tblHeader w:val="0"/>
        </w:trPr>
        <w:tc>
          <w:tcPr>
            <w:shd w:fill="1e2761" w:val="clear"/>
            <w:tcMar>
              <w:top w:w="80.0" w:type="dxa"/>
              <w:left w:w="100.0" w:type="dxa"/>
              <w:bottom w:w="80.0" w:type="dxa"/>
              <w:right w:w="100.0" w:type="dxa"/>
            </w:tcMar>
            <w:vAlign w:val="center"/>
          </w:tcPr>
          <w:p w:rsidR="00000000" w:rsidDel="00000000" w:rsidP="00000000" w:rsidRDefault="00000000" w:rsidRPr="00000000" w14:paraId="0000000A">
            <w:pPr>
              <w:jc w:val="left"/>
              <w:rPr/>
            </w:pPr>
            <w:r w:rsidDel="00000000" w:rsidR="00000000" w:rsidRPr="00000000">
              <w:rPr>
                <w:rFonts w:ascii="Calibri" w:cs="Calibri" w:eastAsia="Calibri" w:hAnsi="Calibri"/>
                <w:b w:val="1"/>
                <w:bCs w:val="1"/>
                <w:color w:val="ffffff"/>
                <w:sz w:val="20"/>
                <w:szCs w:val="20"/>
                <w:rtl w:val="0"/>
              </w:rPr>
              <w:t xml:space="preserve">Versión</w:t>
            </w:r>
            <w:r w:rsidDel="00000000" w:rsidR="00000000" w:rsidRPr="00000000">
              <w:rPr>
                <w:rtl w:val="0"/>
              </w:rPr>
            </w:r>
          </w:p>
        </w:tc>
        <w:tc>
          <w:tcPr>
            <w:shd w:fill="edeff7" w:val="clear"/>
            <w:tcMar>
              <w:top w:w="80.0" w:type="dxa"/>
              <w:left w:w="100.0" w:type="dxa"/>
              <w:bottom w:w="80.0" w:type="dxa"/>
              <w:right w:w="100.0" w:type="dxa"/>
            </w:tcMar>
            <w:vAlign w:val="center"/>
          </w:tcPr>
          <w:p w:rsidR="00000000" w:rsidDel="00000000" w:rsidP="00000000" w:rsidRDefault="00000000" w:rsidRPr="00000000" w14:paraId="0000000B">
            <w:pPr>
              <w:jc w:val="left"/>
              <w:rPr/>
            </w:pPr>
            <w:r w:rsidDel="00000000" w:rsidR="00000000" w:rsidRPr="00000000">
              <w:rPr>
                <w:rFonts w:ascii="Calibri" w:cs="Calibri" w:eastAsia="Calibri" w:hAnsi="Calibri"/>
                <w:b w:val="0"/>
                <w:bCs w:val="0"/>
                <w:color w:val="2b2b2b"/>
                <w:sz w:val="20"/>
                <w:szCs w:val="20"/>
                <w:rtl w:val="0"/>
              </w:rPr>
              <w:t xml:space="preserve">1.0</w:t>
            </w:r>
            <w:r w:rsidDel="00000000" w:rsidR="00000000" w:rsidRPr="00000000">
              <w:rPr>
                <w:rtl w:val="0"/>
              </w:rPr>
            </w:r>
          </w:p>
        </w:tc>
      </w:tr>
      <w:tr>
        <w:trPr>
          <w:cantSplit w:val="0"/>
          <w:tblHeader w:val="0"/>
        </w:trPr>
        <w:tc>
          <w:tcPr>
            <w:shd w:fill="1e2761" w:val="clear"/>
            <w:tcMar>
              <w:top w:w="80.0" w:type="dxa"/>
              <w:left w:w="100.0" w:type="dxa"/>
              <w:bottom w:w="80.0" w:type="dxa"/>
              <w:right w:w="100.0" w:type="dxa"/>
            </w:tcMar>
            <w:vAlign w:val="center"/>
          </w:tcPr>
          <w:p w:rsidR="00000000" w:rsidDel="00000000" w:rsidP="00000000" w:rsidRDefault="00000000" w:rsidRPr="00000000" w14:paraId="0000000C">
            <w:pPr>
              <w:jc w:val="left"/>
              <w:rPr/>
            </w:pPr>
            <w:r w:rsidDel="00000000" w:rsidR="00000000" w:rsidRPr="00000000">
              <w:rPr>
                <w:rFonts w:ascii="Calibri" w:cs="Calibri" w:eastAsia="Calibri" w:hAnsi="Calibri"/>
                <w:b w:val="1"/>
                <w:bCs w:val="1"/>
                <w:color w:val="ffffff"/>
                <w:sz w:val="20"/>
                <w:szCs w:val="20"/>
                <w:rtl w:val="0"/>
              </w:rPr>
              <w:t xml:space="preserve">Fecha</w:t>
            </w:r>
            <w:r w:rsidDel="00000000" w:rsidR="00000000" w:rsidRPr="00000000">
              <w:rPr>
                <w:rtl w:val="0"/>
              </w:rPr>
            </w:r>
          </w:p>
        </w:tc>
        <w:tc>
          <w:tcPr>
            <w:shd w:fill="edeff7" w:val="clear"/>
            <w:tcMar>
              <w:top w:w="80.0" w:type="dxa"/>
              <w:left w:w="100.0" w:type="dxa"/>
              <w:bottom w:w="80.0" w:type="dxa"/>
              <w:right w:w="100.0" w:type="dxa"/>
            </w:tcMar>
            <w:vAlign w:val="center"/>
          </w:tcPr>
          <w:p w:rsidR="00000000" w:rsidDel="00000000" w:rsidP="00000000" w:rsidRDefault="00000000" w:rsidRPr="00000000" w14:paraId="0000000D">
            <w:pPr>
              <w:jc w:val="left"/>
              <w:rPr/>
            </w:pPr>
            <w:r w:rsidDel="00000000" w:rsidR="00000000" w:rsidRPr="00000000">
              <w:rPr>
                <w:rFonts w:ascii="Calibri" w:cs="Calibri" w:eastAsia="Calibri" w:hAnsi="Calibri"/>
                <w:b w:val="0"/>
                <w:bCs w:val="0"/>
                <w:color w:val="2b2b2b"/>
                <w:sz w:val="20"/>
                <w:szCs w:val="20"/>
                <w:rtl w:val="0"/>
              </w:rPr>
              <w:t xml:space="preserve">09-10-2026</w:t>
            </w:r>
            <w:r w:rsidDel="00000000" w:rsidR="00000000" w:rsidRPr="00000000">
              <w:rPr>
                <w:rtl w:val="0"/>
              </w:rPr>
            </w:r>
          </w:p>
        </w:tc>
      </w:tr>
      <w:tr>
        <w:trPr>
          <w:cantSplit w:val="0"/>
          <w:tblHeader w:val="0"/>
        </w:trPr>
        <w:tc>
          <w:tcPr>
            <w:shd w:fill="1e2761" w:val="clear"/>
            <w:tcMar>
              <w:top w:w="80.0" w:type="dxa"/>
              <w:left w:w="100.0" w:type="dxa"/>
              <w:bottom w:w="80.0" w:type="dxa"/>
              <w:right w:w="100.0" w:type="dxa"/>
            </w:tcMar>
            <w:vAlign w:val="center"/>
          </w:tcPr>
          <w:p w:rsidR="00000000" w:rsidDel="00000000" w:rsidP="00000000" w:rsidRDefault="00000000" w:rsidRPr="00000000" w14:paraId="0000000E">
            <w:pPr>
              <w:jc w:val="left"/>
              <w:rPr/>
            </w:pPr>
            <w:r w:rsidDel="00000000" w:rsidR="00000000" w:rsidRPr="00000000">
              <w:rPr>
                <w:rFonts w:ascii="Calibri" w:cs="Calibri" w:eastAsia="Calibri" w:hAnsi="Calibri"/>
                <w:b w:val="1"/>
                <w:bCs w:val="1"/>
                <w:color w:val="ffffff"/>
                <w:sz w:val="20"/>
                <w:szCs w:val="20"/>
                <w:rtl w:val="0"/>
              </w:rPr>
              <w:t xml:space="preserve">Equipo</w:t>
            </w:r>
            <w:r w:rsidDel="00000000" w:rsidR="00000000" w:rsidRPr="00000000">
              <w:rPr>
                <w:rtl w:val="0"/>
              </w:rPr>
            </w:r>
          </w:p>
        </w:tc>
        <w:tc>
          <w:tcPr>
            <w:shd w:fill="edeff7" w:val="clear"/>
            <w:tcMar>
              <w:top w:w="80.0" w:type="dxa"/>
              <w:left w:w="100.0" w:type="dxa"/>
              <w:bottom w:w="80.0" w:type="dxa"/>
              <w:right w:w="100.0" w:type="dxa"/>
            </w:tcMar>
            <w:vAlign w:val="center"/>
          </w:tcPr>
          <w:p w:rsidR="00000000" w:rsidDel="00000000" w:rsidP="00000000" w:rsidRDefault="00000000" w:rsidRPr="00000000" w14:paraId="0000000F">
            <w:pPr>
              <w:jc w:val="left"/>
              <w:rPr/>
            </w:pPr>
            <w:r w:rsidDel="00000000" w:rsidR="00000000" w:rsidRPr="00000000">
              <w:rPr>
                <w:rFonts w:ascii="Calibri" w:cs="Calibri" w:eastAsia="Calibri" w:hAnsi="Calibri"/>
                <w:b w:val="0"/>
                <w:bCs w:val="0"/>
                <w:color w:val="2b2b2b"/>
                <w:sz w:val="20"/>
                <w:szCs w:val="20"/>
                <w:rtl w:val="0"/>
              </w:rPr>
              <w:t xml:space="preserve">Iván Henríquez (Tech Lead / LLM-Semántica) · Mario García (Plataforma / Orquestador) · Anderson González (BD / Seguridad / RLS) · Francisco Salinas (Datos / Parsers / Ingesta AST)</w:t>
            </w:r>
            <w:r w:rsidDel="00000000" w:rsidR="00000000" w:rsidRPr="00000000">
              <w:rPr>
                <w:rtl w:val="0"/>
              </w:rPr>
            </w:r>
          </w:p>
        </w:tc>
      </w:tr>
      <w:tr>
        <w:trPr>
          <w:cantSplit w:val="0"/>
          <w:tblHeader w:val="0"/>
        </w:trPr>
        <w:tc>
          <w:tcPr>
            <w:shd w:fill="1e2761" w:val="clear"/>
            <w:tcMar>
              <w:top w:w="80.0" w:type="dxa"/>
              <w:left w:w="100.0" w:type="dxa"/>
              <w:bottom w:w="80.0" w:type="dxa"/>
              <w:right w:w="100.0" w:type="dxa"/>
            </w:tcMar>
            <w:vAlign w:val="center"/>
          </w:tcPr>
          <w:p w:rsidR="00000000" w:rsidDel="00000000" w:rsidP="00000000" w:rsidRDefault="00000000" w:rsidRPr="00000000" w14:paraId="00000010">
            <w:pPr>
              <w:jc w:val="left"/>
              <w:rPr/>
            </w:pPr>
            <w:r w:rsidDel="00000000" w:rsidR="00000000" w:rsidRPr="00000000">
              <w:rPr>
                <w:b w:val="1"/>
                <w:bCs w:val="1"/>
                <w:color w:val="ffffff"/>
                <w:sz w:val="20"/>
                <w:szCs w:val="20"/>
                <w:rtl w:val="0"/>
              </w:rPr>
              <w:t xml:space="preserve">Integrante</w:t>
            </w:r>
            <w:r w:rsidDel="00000000" w:rsidR="00000000" w:rsidRPr="00000000">
              <w:rPr>
                <w:rtl w:val="0"/>
              </w:rPr>
            </w:r>
          </w:p>
        </w:tc>
        <w:tc>
          <w:tcPr>
            <w:shd w:fill="edeff7" w:val="clear"/>
            <w:tcMar>
              <w:top w:w="80.0" w:type="dxa"/>
              <w:left w:w="100.0" w:type="dxa"/>
              <w:bottom w:w="80.0" w:type="dxa"/>
              <w:right w:w="100.0" w:type="dxa"/>
            </w:tcMar>
            <w:vAlign w:val="center"/>
          </w:tcPr>
          <w:p w:rsidR="00000000" w:rsidDel="00000000" w:rsidP="00000000" w:rsidRDefault="00000000" w:rsidRPr="00000000" w14:paraId="00000011">
            <w:pPr>
              <w:jc w:val="left"/>
              <w:rPr/>
            </w:pPr>
            <w:r w:rsidDel="00000000" w:rsidR="00000000" w:rsidRPr="00000000">
              <w:rPr>
                <w:rFonts w:ascii="Calibri" w:cs="Calibri" w:eastAsia="Calibri" w:hAnsi="Calibri"/>
                <w:b w:val="0"/>
                <w:bCs w:val="0"/>
                <w:color w:val="2b2b2b"/>
                <w:sz w:val="20"/>
                <w:szCs w:val="20"/>
                <w:rtl w:val="0"/>
              </w:rPr>
              <w:t xml:space="preserve">Francisco Salinas, Ivan Henriquez, Anderson Gonzalez, Mario Garcia</w:t>
            </w:r>
            <w:r w:rsidDel="00000000" w:rsidR="00000000" w:rsidRPr="00000000">
              <w:rPr>
                <w:rtl w:val="0"/>
              </w:rPr>
            </w:r>
          </w:p>
        </w:tc>
      </w:tr>
    </w:tbl>
    <w:p w:rsidR="00000000" w:rsidDel="00000000" w:rsidP="00000000" w:rsidRDefault="00000000" w:rsidRPr="00000000" w14:paraId="00000012">
      <w:pPr>
        <w:rPr/>
        <w:sectPr>
          <w:pgSz w:h="15840" w:w="12240" w:orient="portrait"/>
          <w:pgMar w:bottom="1000" w:top="1000" w:left="1100" w:right="110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pBdr>
          <w:bottom w:color="1e2761" w:space="4" w:sz="12" w:val="single"/>
        </w:pBdr>
        <w:spacing w:after="160" w:before="360" w:lineRule="auto"/>
        <w:rPr/>
      </w:pPr>
      <w:r w:rsidDel="00000000" w:rsidR="00000000" w:rsidRPr="00000000">
        <w:rPr>
          <w:rFonts w:ascii="Cambria" w:cs="Cambria" w:eastAsia="Cambria" w:hAnsi="Cambria"/>
          <w:b w:val="1"/>
          <w:bCs w:val="1"/>
          <w:color w:val="1e2761"/>
          <w:sz w:val="30"/>
          <w:szCs w:val="30"/>
          <w:rtl w:val="0"/>
        </w:rPr>
        <w:t xml:space="preserve">1. Introducción</w:t>
      </w:r>
      <w:r w:rsidDel="00000000" w:rsidR="00000000" w:rsidRPr="00000000">
        <w:rPr>
          <w:rtl w:val="0"/>
        </w:rPr>
      </w:r>
    </w:p>
    <w:p w:rsidR="00000000" w:rsidDel="00000000" w:rsidP="00000000" w:rsidRDefault="00000000" w:rsidRPr="00000000" w14:paraId="00000014">
      <w:pPr>
        <w:spacing w:after="120" w:line="276" w:lineRule="auto"/>
        <w:rPr/>
      </w:pPr>
      <w:r w:rsidDel="00000000" w:rsidR="00000000" w:rsidRPr="00000000">
        <w:rPr>
          <w:rFonts w:ascii="Calibri" w:cs="Calibri" w:eastAsia="Calibri" w:hAnsi="Calibri"/>
          <w:color w:val="2b2b2b"/>
          <w:sz w:val="22"/>
          <w:szCs w:val="22"/>
          <w:rtl w:val="0"/>
        </w:rPr>
        <w:t xml:space="preserve">Este Plan de Pruebas define el alcance, la estrategia y los criterios con los que el equipo de KalliCode Platform verifica la calidad del sistema a lo largo del ciclo de desarrollo. KalliCode es una plataforma que recibe tickets desde múltiples canales (Jira, GitHub, formulario de soporte, Corestream), los normaliza, los enruta a través de una máquina de estados finitos (FSM) de 16 etapas (Triage → Diseño → Build → QA → Seguridad → Deploy) y usa una capa vectorial (pgvector + embeddings BGE-M3) para deduplicación semántica y recuperación de contexto (RAG) durante el análisis de cada ticket.</w:t>
      </w:r>
      <w:r w:rsidDel="00000000" w:rsidR="00000000" w:rsidRPr="00000000">
        <w:rPr>
          <w:rtl w:val="0"/>
        </w:rPr>
      </w:r>
    </w:p>
    <w:p w:rsidR="00000000" w:rsidDel="00000000" w:rsidP="00000000" w:rsidRDefault="00000000" w:rsidRPr="00000000" w14:paraId="00000015">
      <w:pPr>
        <w:spacing w:after="120" w:line="276" w:lineRule="auto"/>
        <w:rPr/>
      </w:pPr>
      <w:r w:rsidDel="00000000" w:rsidR="00000000" w:rsidRPr="00000000">
        <w:rPr>
          <w:rFonts w:ascii="Calibri" w:cs="Calibri" w:eastAsia="Calibri" w:hAnsi="Calibri"/>
          <w:color w:val="2b2b2b"/>
          <w:sz w:val="22"/>
          <w:szCs w:val="22"/>
          <w:rtl w:val="0"/>
        </w:rPr>
        <w:t xml:space="preserve">Dado que el sistema es multi-tenant (varias organizaciones comparten la misma base de datos bajo aislamiento por Row-Level Security), las pruebas de este plan ponen especial énfasis en tres propiedades no negociables: aislamiento de datos entre tenants, idempotencia de las operaciones de escritura, y calidad del recall semántico de la capa vectorial — las tres verificadas de forma automatizada en la suite descrita en la sección 6.</w:t>
      </w:r>
      <w:r w:rsidDel="00000000" w:rsidR="00000000" w:rsidRPr="00000000">
        <w:rPr>
          <w:rtl w:val="0"/>
        </w:rPr>
      </w:r>
    </w:p>
    <w:p w:rsidR="00000000" w:rsidDel="00000000" w:rsidP="00000000" w:rsidRDefault="00000000" w:rsidRPr="00000000" w14:paraId="00000016">
      <w:pPr>
        <w:pStyle w:val="Heading1"/>
        <w:pBdr>
          <w:bottom w:color="1e2761" w:space="4" w:sz="12" w:val="single"/>
        </w:pBdr>
        <w:spacing w:after="160" w:before="360" w:lineRule="auto"/>
        <w:rPr/>
      </w:pPr>
      <w:r w:rsidDel="00000000" w:rsidR="00000000" w:rsidRPr="00000000">
        <w:rPr>
          <w:rFonts w:ascii="Cambria" w:cs="Cambria" w:eastAsia="Cambria" w:hAnsi="Cambria"/>
          <w:b w:val="1"/>
          <w:bCs w:val="1"/>
          <w:color w:val="1e2761"/>
          <w:sz w:val="30"/>
          <w:szCs w:val="30"/>
          <w:rtl w:val="0"/>
        </w:rPr>
        <w:t xml:space="preserve">2. Objetivos</w:t>
      </w:r>
      <w:r w:rsidDel="00000000" w:rsidR="00000000" w:rsidRPr="00000000">
        <w:rPr>
          <w:rtl w:val="0"/>
        </w:rPr>
      </w:r>
    </w:p>
    <w:p w:rsidR="00000000" w:rsidDel="00000000" w:rsidP="00000000" w:rsidRDefault="00000000" w:rsidRPr="00000000" w14:paraId="00000017">
      <w:pPr>
        <w:pStyle w:val="Heading2"/>
        <w:spacing w:after="120" w:before="260" w:lineRule="auto"/>
        <w:rPr/>
      </w:pPr>
      <w:r w:rsidDel="00000000" w:rsidR="00000000" w:rsidRPr="00000000">
        <w:rPr>
          <w:rFonts w:ascii="Cambria" w:cs="Cambria" w:eastAsia="Cambria" w:hAnsi="Cambria"/>
          <w:b w:val="1"/>
          <w:bCs w:val="1"/>
          <w:color w:val="121a47"/>
          <w:sz w:val="24"/>
          <w:szCs w:val="24"/>
          <w:rtl w:val="0"/>
        </w:rPr>
        <w:t xml:space="preserve">2.1 Objetivo general</w:t>
      </w:r>
      <w:r w:rsidDel="00000000" w:rsidR="00000000" w:rsidRPr="00000000">
        <w:rPr>
          <w:rtl w:val="0"/>
        </w:rPr>
      </w:r>
    </w:p>
    <w:p w:rsidR="00000000" w:rsidDel="00000000" w:rsidP="00000000" w:rsidRDefault="00000000" w:rsidRPr="00000000" w14:paraId="00000018">
      <w:pPr>
        <w:spacing w:after="120" w:line="276" w:lineRule="auto"/>
        <w:rPr/>
      </w:pPr>
      <w:r w:rsidDel="00000000" w:rsidR="00000000" w:rsidRPr="00000000">
        <w:rPr>
          <w:rFonts w:ascii="Calibri" w:cs="Calibri" w:eastAsia="Calibri" w:hAnsi="Calibri"/>
          <w:color w:val="2b2b2b"/>
          <w:sz w:val="22"/>
          <w:szCs w:val="22"/>
          <w:rtl w:val="0"/>
        </w:rPr>
        <w:t xml:space="preserve">Garantizar que cada componente de KalliCode Platform (ingesta, normalización, capa vectorial, orquestador FSM y API) funcione de acuerdo a su diseño, de forma aislada y en conjunto, antes de promover cualquier cambio a un ambiente compartido.</w:t>
      </w:r>
      <w:r w:rsidDel="00000000" w:rsidR="00000000" w:rsidRPr="00000000">
        <w:rPr>
          <w:rtl w:val="0"/>
        </w:rPr>
      </w:r>
    </w:p>
    <w:p w:rsidR="00000000" w:rsidDel="00000000" w:rsidP="00000000" w:rsidRDefault="00000000" w:rsidRPr="00000000" w14:paraId="00000019">
      <w:pPr>
        <w:pStyle w:val="Heading2"/>
        <w:spacing w:after="120" w:before="260" w:lineRule="auto"/>
        <w:rPr/>
      </w:pPr>
      <w:r w:rsidDel="00000000" w:rsidR="00000000" w:rsidRPr="00000000">
        <w:rPr>
          <w:rFonts w:ascii="Cambria" w:cs="Cambria" w:eastAsia="Cambria" w:hAnsi="Cambria"/>
          <w:b w:val="1"/>
          <w:bCs w:val="1"/>
          <w:color w:val="121a47"/>
          <w:sz w:val="24"/>
          <w:szCs w:val="24"/>
          <w:rtl w:val="0"/>
        </w:rPr>
        <w:t xml:space="preserve">2.2 Objetivos específicos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Verificar que el aislamiento multi-tenant (RLS) impide que una organización lea o escriba datos de otra, incluso ante un intento deliberado de forjar el tenant_id.</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Verificar que las operaciones de upsert sobre la capa vectorial (vec.ticket_embeddings, vec.definition_embeddings) son idempotentes: contenido sin cambios no genera una escritura ni un recálculo de embedding innecesario.</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Verificar que la recuperación por similitud de coseno (pgvector, operador &lt;=&gt;) devuelve los resultados en el orden esperado según cercanía semántica real.</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Verificar que la normalización de webhooks (Jira, GitHub, Help, Corestream) produce tickets internos consistentes y maneja payloads inválidos sin propagar errores al proveedor.</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Confirmar que los defectos detectados se registran, priorizan y re-prueban antes del cierre del ticket correspondiente en Jira.</w:t>
      </w:r>
    </w:p>
    <w:p w:rsidR="00000000" w:rsidDel="00000000" w:rsidP="00000000" w:rsidRDefault="00000000" w:rsidRPr="00000000" w14:paraId="0000001F">
      <w:pPr>
        <w:pStyle w:val="Heading1"/>
        <w:pBdr>
          <w:bottom w:color="1e2761" w:space="4" w:sz="12" w:val="single"/>
        </w:pBdr>
        <w:spacing w:after="160" w:before="360" w:lineRule="auto"/>
        <w:rPr/>
      </w:pPr>
      <w:r w:rsidDel="00000000" w:rsidR="00000000" w:rsidRPr="00000000">
        <w:rPr>
          <w:rFonts w:ascii="Cambria" w:cs="Cambria" w:eastAsia="Cambria" w:hAnsi="Cambria"/>
          <w:b w:val="1"/>
          <w:bCs w:val="1"/>
          <w:color w:val="1e2761"/>
          <w:sz w:val="30"/>
          <w:szCs w:val="30"/>
          <w:rtl w:val="0"/>
        </w:rPr>
        <w:t xml:space="preserve">3. Alcance</w:t>
      </w:r>
      <w:r w:rsidDel="00000000" w:rsidR="00000000" w:rsidRPr="00000000">
        <w:rPr>
          <w:rtl w:val="0"/>
        </w:rPr>
      </w:r>
    </w:p>
    <w:p w:rsidR="00000000" w:rsidDel="00000000" w:rsidP="00000000" w:rsidRDefault="00000000" w:rsidRPr="00000000" w14:paraId="00000020">
      <w:pPr>
        <w:pStyle w:val="Heading2"/>
        <w:spacing w:after="120" w:before="260" w:lineRule="auto"/>
        <w:rPr/>
      </w:pPr>
      <w:r w:rsidDel="00000000" w:rsidR="00000000" w:rsidRPr="00000000">
        <w:rPr>
          <w:rFonts w:ascii="Cambria" w:cs="Cambria" w:eastAsia="Cambria" w:hAnsi="Cambria"/>
          <w:b w:val="1"/>
          <w:bCs w:val="1"/>
          <w:color w:val="121a47"/>
          <w:sz w:val="24"/>
          <w:szCs w:val="24"/>
          <w:rtl w:val="0"/>
        </w:rPr>
        <w:t xml:space="preserve">3.1 Incluido en el alcance</w:t>
      </w:r>
      <w:r w:rsidDel="00000000" w:rsidR="00000000" w:rsidRPr="00000000">
        <w:rPr>
          <w:rtl w:val="0"/>
        </w:rPr>
      </w:r>
    </w:p>
    <w:p w:rsidR="00000000" w:rsidDel="00000000" w:rsidP="00000000" w:rsidRDefault="00000000" w:rsidRPr="00000000" w14:paraId="00000021">
      <w:pPr>
        <w:numPr>
          <w:ilvl w:val="0"/>
          <w:numId w:val="1"/>
        </w:numPr>
        <w:spacing w:after="80" w:lineRule="auto"/>
        <w:ind w:left="460" w:hanging="260"/>
      </w:pPr>
      <w:r w:rsidDel="00000000" w:rsidR="00000000" w:rsidRPr="00000000">
        <w:rPr>
          <w:rtl w:val="0"/>
        </w:rPr>
        <w:t xml:space="preserve">Capa vectorial (packages/core/kallicode_core/vectores.py): upserts idempotentes sobre vec.ticket_embeddings y vec.definition_embeddings.</w:t>
      </w:r>
    </w:p>
    <w:p w:rsidR="00000000" w:rsidDel="00000000" w:rsidP="00000000" w:rsidRDefault="00000000" w:rsidRPr="00000000" w14:paraId="00000022">
      <w:pPr>
        <w:numPr>
          <w:ilvl w:val="0"/>
          <w:numId w:val="1"/>
        </w:numPr>
        <w:spacing w:after="80" w:lineRule="auto"/>
        <w:ind w:left="460" w:hanging="260"/>
      </w:pPr>
      <w:r w:rsidDel="00000000" w:rsidR="00000000" w:rsidRPr="00000000">
        <w:rPr>
          <w:rtl w:val="0"/>
        </w:rPr>
        <w:t xml:space="preserve">Aislamiento multi-tenant por Row-Level Security sobre los esquemas core, cm, vec y audit.</w:t>
      </w:r>
    </w:p>
    <w:p w:rsidR="00000000" w:rsidDel="00000000" w:rsidP="00000000" w:rsidRDefault="00000000" w:rsidRPr="00000000" w14:paraId="00000023">
      <w:pPr>
        <w:numPr>
          <w:ilvl w:val="0"/>
          <w:numId w:val="1"/>
        </w:numPr>
        <w:spacing w:after="80" w:lineRule="auto"/>
        <w:ind w:left="460" w:hanging="260"/>
      </w:pPr>
      <w:r w:rsidDel="00000000" w:rsidR="00000000" w:rsidRPr="00000000">
        <w:rPr>
          <w:rtl w:val="0"/>
        </w:rPr>
        <w:t xml:space="preserve">Recall semántico mediante distancia de coseno (pgvector) sobre embeddings BGE-M3.</w:t>
      </w:r>
    </w:p>
    <w:p w:rsidR="00000000" w:rsidDel="00000000" w:rsidP="00000000" w:rsidRDefault="00000000" w:rsidRPr="00000000" w14:paraId="00000024">
      <w:pPr>
        <w:numPr>
          <w:ilvl w:val="0"/>
          <w:numId w:val="1"/>
        </w:numPr>
        <w:spacing w:after="80" w:lineRule="auto"/>
        <w:ind w:left="460" w:hanging="260"/>
      </w:pPr>
      <w:r w:rsidDel="00000000" w:rsidR="00000000" w:rsidRPr="00000000">
        <w:rPr>
          <w:rtl w:val="0"/>
        </w:rPr>
        <w:t xml:space="preserve">Pruebas de regresión sobre la suite existente del monorepo para detectar efectos colaterales de cada cambio.</w:t>
      </w:r>
    </w:p>
    <w:p w:rsidR="00000000" w:rsidDel="00000000" w:rsidP="00000000" w:rsidRDefault="00000000" w:rsidRPr="00000000" w14:paraId="00000025">
      <w:pPr>
        <w:numPr>
          <w:ilvl w:val="0"/>
          <w:numId w:val="1"/>
        </w:numPr>
        <w:spacing w:after="80" w:lineRule="auto"/>
        <w:ind w:left="460" w:hanging="260"/>
      </w:pPr>
      <w:r w:rsidDel="00000000" w:rsidR="00000000" w:rsidRPr="00000000">
        <w:rPr>
          <w:rtl w:val="0"/>
        </w:rPr>
        <w:t xml:space="preserve">Suite completa de CodeMapping, incluyendo pruebas de mutación (KC-CM-06-6) y validación de contratos JSON (cm-stats).</w:t>
      </w:r>
      <w:r w:rsidDel="00000000" w:rsidR="00000000" w:rsidRPr="00000000">
        <w:rPr>
          <w:rtl w:val="0"/>
        </w:rPr>
      </w:r>
    </w:p>
    <w:p w:rsidR="00000000" w:rsidDel="00000000" w:rsidP="00000000" w:rsidRDefault="00000000" w:rsidRPr="00000000" w14:paraId="00000026">
      <w:pPr>
        <w:pStyle w:val="Heading2"/>
        <w:spacing w:after="120" w:before="260" w:lineRule="auto"/>
        <w:rPr/>
      </w:pPr>
      <w:r w:rsidDel="00000000" w:rsidR="00000000" w:rsidRPr="00000000">
        <w:rPr>
          <w:rFonts w:ascii="Cambria" w:cs="Cambria" w:eastAsia="Cambria" w:hAnsi="Cambria"/>
          <w:b w:val="1"/>
          <w:bCs w:val="1"/>
          <w:color w:val="121a47"/>
          <w:sz w:val="24"/>
          <w:szCs w:val="24"/>
          <w:rtl w:val="0"/>
        </w:rPr>
        <w:t xml:space="preserve">3.2 Fuera del alcance de este plan</w:t>
      </w:r>
      <w:r w:rsidDel="00000000" w:rsidR="00000000" w:rsidRPr="00000000">
        <w:rPr>
          <w:rtl w:val="0"/>
        </w:rPr>
      </w:r>
    </w:p>
    <w:p w:rsidR="00000000" w:rsidDel="00000000" w:rsidP="00000000" w:rsidRDefault="00000000" w:rsidRPr="00000000" w14:paraId="00000027">
      <w:pPr>
        <w:numPr>
          <w:ilvl w:val="0"/>
          <w:numId w:val="1"/>
        </w:numPr>
        <w:spacing w:after="80" w:lineRule="auto"/>
        <w:ind w:left="460" w:hanging="260"/>
      </w:pPr>
      <w:r w:rsidDel="00000000" w:rsidR="00000000" w:rsidRPr="00000000">
        <w:rPr>
          <w:rtl w:val="0"/>
        </w:rPr>
        <w:t xml:space="preserve">Pruebas de carga / rendimiento a gran escala del orquestador Redis Streams (se evaluarán en una fase posterior).</w:t>
      </w:r>
    </w:p>
    <w:p w:rsidR="00000000" w:rsidDel="00000000" w:rsidP="00000000" w:rsidRDefault="00000000" w:rsidRPr="00000000" w14:paraId="00000028">
      <w:pPr>
        <w:numPr>
          <w:ilvl w:val="0"/>
          <w:numId w:val="1"/>
        </w:numPr>
        <w:spacing w:after="80" w:lineRule="auto"/>
        <w:ind w:left="460" w:hanging="260"/>
      </w:pPr>
      <w:r w:rsidDel="00000000" w:rsidR="00000000" w:rsidRPr="00000000">
        <w:rPr>
          <w:rtl w:val="0"/>
        </w:rPr>
        <w:t xml:space="preserve">Pruebas de la interfaz de usuario final (fuera del alcance del equipo de backend/datos).</w:t>
      </w:r>
    </w:p>
    <w:p w:rsidR="00000000" w:rsidDel="00000000" w:rsidP="00000000" w:rsidRDefault="00000000" w:rsidRPr="00000000" w14:paraId="00000029">
      <w:pPr>
        <w:numPr>
          <w:ilvl w:val="0"/>
          <w:numId w:val="1"/>
        </w:numPr>
        <w:spacing w:after="80" w:lineRule="auto"/>
        <w:ind w:left="460" w:hanging="260"/>
      </w:pPr>
      <w:r w:rsidDel="00000000" w:rsidR="00000000" w:rsidRPr="00000000">
        <w:rPr>
          <w:rtl w:val="0"/>
        </w:rPr>
        <w:t xml:space="preserve">Casos de normalización de webhooks (CP-06 a CP-10): Pertenecen funcionalmente al Equipo 3 (Backend/Workers). Se declaran formalmente como dependencias de integración externa, enfocando la verificación de esta fase estrictamente en los contratos del grafo y base de datos.</w:t>
      </w:r>
    </w:p>
    <w:p w:rsidR="00000000" w:rsidDel="00000000" w:rsidP="00000000" w:rsidRDefault="00000000" w:rsidRPr="00000000" w14:paraId="0000002A">
      <w:pPr>
        <w:numPr>
          <w:ilvl w:val="0"/>
          <w:numId w:val="1"/>
        </w:numPr>
        <w:spacing w:after="80" w:lineRule="auto"/>
        <w:ind w:left="460" w:hanging="260"/>
      </w:pPr>
      <w:r w:rsidDel="00000000" w:rsidR="00000000" w:rsidRPr="00000000">
        <w:rPr>
          <w:rtl w:val="0"/>
        </w:rPr>
        <w:t xml:space="preserve">Módulos marcados como en desarrollo por otros integrantes y no integrados aún a la rama principal.</w:t>
      </w:r>
      <w:r w:rsidDel="00000000" w:rsidR="00000000" w:rsidRPr="00000000">
        <w:rPr>
          <w:rtl w:val="0"/>
        </w:rPr>
      </w:r>
    </w:p>
    <w:p w:rsidR="00000000" w:rsidDel="00000000" w:rsidP="00000000" w:rsidRDefault="00000000" w:rsidRPr="00000000" w14:paraId="0000002B">
      <w:pPr>
        <w:pStyle w:val="Heading1"/>
        <w:pBdr>
          <w:bottom w:color="1e2761" w:space="4" w:sz="12" w:val="single"/>
        </w:pBdr>
        <w:spacing w:after="160" w:before="360" w:lineRule="auto"/>
        <w:rPr/>
      </w:pPr>
      <w:r w:rsidDel="00000000" w:rsidR="00000000" w:rsidRPr="00000000">
        <w:rPr>
          <w:rFonts w:ascii="Cambria" w:cs="Cambria" w:eastAsia="Cambria" w:hAnsi="Cambria"/>
          <w:b w:val="1"/>
          <w:bCs w:val="1"/>
          <w:color w:val="1e2761"/>
          <w:sz w:val="30"/>
          <w:szCs w:val="30"/>
          <w:rtl w:val="0"/>
        </w:rPr>
        <w:t xml:space="preserve">4. Estrategia de pruebas</w:t>
      </w:r>
      <w:r w:rsidDel="00000000" w:rsidR="00000000" w:rsidRPr="00000000">
        <w:rPr>
          <w:rtl w:val="0"/>
        </w:rPr>
      </w:r>
    </w:p>
    <w:p w:rsidR="00000000" w:rsidDel="00000000" w:rsidP="00000000" w:rsidRDefault="00000000" w:rsidRPr="00000000" w14:paraId="0000002C">
      <w:pPr>
        <w:pStyle w:val="Heading2"/>
        <w:spacing w:after="120" w:before="260" w:lineRule="auto"/>
        <w:rPr/>
      </w:pPr>
      <w:r w:rsidDel="00000000" w:rsidR="00000000" w:rsidRPr="00000000">
        <w:rPr>
          <w:rFonts w:ascii="Cambria" w:cs="Cambria" w:eastAsia="Cambria" w:hAnsi="Cambria"/>
          <w:b w:val="1"/>
          <w:bCs w:val="1"/>
          <w:color w:val="121a47"/>
          <w:sz w:val="24"/>
          <w:szCs w:val="24"/>
          <w:rtl w:val="0"/>
        </w:rPr>
        <w:t xml:space="preserve">4.1 Niveles de prueba</w:t>
      </w:r>
      <w:r w:rsidDel="00000000" w:rsidR="00000000" w:rsidRPr="00000000">
        <w:rPr>
          <w:rtl w:val="0"/>
        </w:rPr>
      </w:r>
    </w:p>
    <w:tbl>
      <w:tblPr>
        <w:tblStyle w:val="Table2"/>
        <w:tblW w:w="9600.0" w:type="dxa"/>
        <w:jc w:val="left"/>
        <w:tblBorders>
          <w:top w:color="c9ccdb" w:space="0" w:sz="4" w:val="single"/>
          <w:left w:color="c9ccdb" w:space="0" w:sz="4" w:val="single"/>
          <w:bottom w:color="c9ccdb" w:space="0" w:sz="4" w:val="single"/>
          <w:right w:color="c9ccdb" w:space="0" w:sz="4" w:val="single"/>
          <w:insideH w:color="c9ccdb" w:space="0" w:sz="4" w:val="single"/>
          <w:insideV w:color="c9ccdb" w:space="0" w:sz="4" w:val="single"/>
        </w:tblBorders>
        <w:tblLayout w:type="fixed"/>
        <w:tblLook w:val="0000"/>
      </w:tblPr>
      <w:tblGrid>
        <w:gridCol w:w="2000"/>
        <w:gridCol w:w="5400"/>
        <w:gridCol w:w="2200"/>
        <w:tblGridChange w:id="0">
          <w:tblGrid>
            <w:gridCol w:w="2000"/>
            <w:gridCol w:w="5400"/>
            <w:gridCol w:w="2200"/>
          </w:tblGrid>
        </w:tblGridChange>
      </w:tblGrid>
      <w:tr>
        <w:trPr>
          <w:cantSplit w:val="0"/>
          <w:tblHeader w:val="1"/>
        </w:trPr>
        <w:tc>
          <w:tcPr>
            <w:shd w:fill="1e2761" w:val="clear"/>
            <w:tcMar>
              <w:top w:w="80.0" w:type="dxa"/>
              <w:left w:w="100.0" w:type="dxa"/>
              <w:bottom w:w="80.0" w:type="dxa"/>
              <w:right w:w="100.0" w:type="dxa"/>
            </w:tcMar>
            <w:vAlign w:val="center"/>
          </w:tcPr>
          <w:p w:rsidR="00000000" w:rsidDel="00000000" w:rsidP="00000000" w:rsidRDefault="00000000" w:rsidRPr="00000000" w14:paraId="0000002D">
            <w:pPr>
              <w:jc w:val="center"/>
              <w:rPr/>
            </w:pPr>
            <w:r w:rsidDel="00000000" w:rsidR="00000000" w:rsidRPr="00000000">
              <w:rPr>
                <w:rFonts w:ascii="Calibri" w:cs="Calibri" w:eastAsia="Calibri" w:hAnsi="Calibri"/>
                <w:b w:val="1"/>
                <w:bCs w:val="1"/>
                <w:color w:val="ffffff"/>
                <w:sz w:val="20"/>
                <w:szCs w:val="20"/>
                <w:rtl w:val="0"/>
              </w:rPr>
              <w:t xml:space="preserve">Nivel</w:t>
            </w:r>
            <w:r w:rsidDel="00000000" w:rsidR="00000000" w:rsidRPr="00000000">
              <w:rPr>
                <w:rtl w:val="0"/>
              </w:rPr>
            </w:r>
          </w:p>
        </w:tc>
        <w:tc>
          <w:tcPr>
            <w:shd w:fill="1e2761" w:val="clear"/>
            <w:tcMar>
              <w:top w:w="80.0" w:type="dxa"/>
              <w:left w:w="100.0" w:type="dxa"/>
              <w:bottom w:w="80.0" w:type="dxa"/>
              <w:right w:w="100.0" w:type="dxa"/>
            </w:tcMar>
            <w:vAlign w:val="center"/>
          </w:tcPr>
          <w:p w:rsidR="00000000" w:rsidDel="00000000" w:rsidP="00000000" w:rsidRDefault="00000000" w:rsidRPr="00000000" w14:paraId="0000002E">
            <w:pPr>
              <w:jc w:val="center"/>
              <w:rPr/>
            </w:pPr>
            <w:r w:rsidDel="00000000" w:rsidR="00000000" w:rsidRPr="00000000">
              <w:rPr>
                <w:rFonts w:ascii="Calibri" w:cs="Calibri" w:eastAsia="Calibri" w:hAnsi="Calibri"/>
                <w:b w:val="1"/>
                <w:bCs w:val="1"/>
                <w:color w:val="ffffff"/>
                <w:sz w:val="20"/>
                <w:szCs w:val="20"/>
                <w:rtl w:val="0"/>
              </w:rPr>
              <w:t xml:space="preserve">Descripción</w:t>
            </w:r>
            <w:r w:rsidDel="00000000" w:rsidR="00000000" w:rsidRPr="00000000">
              <w:rPr>
                <w:rtl w:val="0"/>
              </w:rPr>
            </w:r>
          </w:p>
        </w:tc>
        <w:tc>
          <w:tcPr>
            <w:shd w:fill="1e2761" w:val="clear"/>
            <w:tcMar>
              <w:top w:w="80.0" w:type="dxa"/>
              <w:left w:w="100.0" w:type="dxa"/>
              <w:bottom w:w="80.0" w:type="dxa"/>
              <w:right w:w="100.0" w:type="dxa"/>
            </w:tcMar>
            <w:vAlign w:val="center"/>
          </w:tcPr>
          <w:p w:rsidR="00000000" w:rsidDel="00000000" w:rsidP="00000000" w:rsidRDefault="00000000" w:rsidRPr="00000000" w14:paraId="0000002F">
            <w:pPr>
              <w:jc w:val="center"/>
              <w:rPr/>
            </w:pPr>
            <w:r w:rsidDel="00000000" w:rsidR="00000000" w:rsidRPr="00000000">
              <w:rPr>
                <w:rFonts w:ascii="Calibri" w:cs="Calibri" w:eastAsia="Calibri" w:hAnsi="Calibri"/>
                <w:b w:val="1"/>
                <w:bCs w:val="1"/>
                <w:color w:val="ffffff"/>
                <w:sz w:val="20"/>
                <w:szCs w:val="20"/>
                <w:rtl w:val="0"/>
              </w:rPr>
              <w:t xml:space="preserve">Herramienta</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30">
            <w:pPr>
              <w:jc w:val="left"/>
              <w:rPr/>
            </w:pPr>
            <w:r w:rsidDel="00000000" w:rsidR="00000000" w:rsidRPr="00000000">
              <w:rPr>
                <w:rFonts w:ascii="Calibri" w:cs="Calibri" w:eastAsia="Calibri" w:hAnsi="Calibri"/>
                <w:b w:val="0"/>
                <w:bCs w:val="0"/>
                <w:color w:val="2b2b2b"/>
                <w:sz w:val="20"/>
                <w:szCs w:val="20"/>
                <w:rtl w:val="0"/>
              </w:rPr>
              <w:t xml:space="preserve">Unitarias</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31">
            <w:pPr>
              <w:jc w:val="left"/>
              <w:rPr/>
            </w:pPr>
            <w:r w:rsidDel="00000000" w:rsidR="00000000" w:rsidRPr="00000000">
              <w:rPr>
                <w:rFonts w:ascii="Calibri" w:cs="Calibri" w:eastAsia="Calibri" w:hAnsi="Calibri"/>
                <w:b w:val="0"/>
                <w:bCs w:val="0"/>
                <w:color w:val="2b2b2b"/>
                <w:sz w:val="20"/>
                <w:szCs w:val="20"/>
                <w:rtl w:val="0"/>
              </w:rPr>
              <w:t xml:space="preserve">Funciones puras y helpers (hashing, normalizadores por proveedor, cálculo de vectores).</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32">
            <w:pPr>
              <w:jc w:val="left"/>
              <w:rPr/>
            </w:pPr>
            <w:r w:rsidDel="00000000" w:rsidR="00000000" w:rsidRPr="00000000">
              <w:rPr>
                <w:rFonts w:ascii="Calibri" w:cs="Calibri" w:eastAsia="Calibri" w:hAnsi="Calibri"/>
                <w:b w:val="0"/>
                <w:bCs w:val="0"/>
                <w:color w:val="2b2b2b"/>
                <w:sz w:val="20"/>
                <w:szCs w:val="20"/>
                <w:rtl w:val="0"/>
              </w:rPr>
              <w:t xml:space="preserve">pytest</w:t>
            </w:r>
            <w:r w:rsidDel="00000000" w:rsidR="00000000" w:rsidRPr="00000000">
              <w:rPr>
                <w:rtl w:val="0"/>
              </w:rPr>
            </w:r>
          </w:p>
        </w:tc>
      </w:tr>
      <w:tr>
        <w:trPr>
          <w:cantSplit w:val="0"/>
          <w:tblHeader w:val="0"/>
        </w:trPr>
        <w:tc>
          <w:tcPr>
            <w:shd w:fill="edeff7" w:val="clear"/>
            <w:tcMar>
              <w:top w:w="80.0" w:type="dxa"/>
              <w:left w:w="100.0" w:type="dxa"/>
              <w:bottom w:w="80.0" w:type="dxa"/>
              <w:right w:w="100.0" w:type="dxa"/>
            </w:tcMar>
            <w:vAlign w:val="center"/>
          </w:tcPr>
          <w:p w:rsidR="00000000" w:rsidDel="00000000" w:rsidP="00000000" w:rsidRDefault="00000000" w:rsidRPr="00000000" w14:paraId="00000033">
            <w:pPr>
              <w:jc w:val="left"/>
              <w:rPr/>
            </w:pPr>
            <w:r w:rsidDel="00000000" w:rsidR="00000000" w:rsidRPr="00000000">
              <w:rPr>
                <w:rFonts w:ascii="Calibri" w:cs="Calibri" w:eastAsia="Calibri" w:hAnsi="Calibri"/>
                <w:b w:val="0"/>
                <w:bCs w:val="0"/>
                <w:color w:val="2b2b2b"/>
                <w:sz w:val="20"/>
                <w:szCs w:val="20"/>
                <w:rtl w:val="0"/>
              </w:rPr>
              <w:t xml:space="preserve">Integración</w:t>
            </w:r>
            <w:r w:rsidDel="00000000" w:rsidR="00000000" w:rsidRPr="00000000">
              <w:rPr>
                <w:rtl w:val="0"/>
              </w:rPr>
            </w:r>
          </w:p>
        </w:tc>
        <w:tc>
          <w:tcPr>
            <w:shd w:fill="edeff7" w:val="clear"/>
            <w:tcMar>
              <w:top w:w="80.0" w:type="dxa"/>
              <w:left w:w="100.0" w:type="dxa"/>
              <w:bottom w:w="80.0" w:type="dxa"/>
              <w:right w:w="100.0" w:type="dxa"/>
            </w:tcMar>
            <w:vAlign w:val="center"/>
          </w:tcPr>
          <w:p w:rsidR="00000000" w:rsidDel="00000000" w:rsidP="00000000" w:rsidRDefault="00000000" w:rsidRPr="00000000" w14:paraId="00000034">
            <w:pPr>
              <w:jc w:val="left"/>
              <w:rPr/>
            </w:pPr>
            <w:r w:rsidDel="00000000" w:rsidR="00000000" w:rsidRPr="00000000">
              <w:rPr>
                <w:rFonts w:ascii="Calibri" w:cs="Calibri" w:eastAsia="Calibri" w:hAnsi="Calibri"/>
                <w:b w:val="0"/>
                <w:bCs w:val="0"/>
                <w:color w:val="2b2b2b"/>
                <w:sz w:val="20"/>
                <w:szCs w:val="20"/>
                <w:rtl w:val="0"/>
              </w:rPr>
              <w:t xml:space="preserve">Interacción real con Postgres/pgvector bajo un rol de login con RLS activo (kallicode_dev), sin bypass de superusuario.</w:t>
            </w:r>
            <w:r w:rsidDel="00000000" w:rsidR="00000000" w:rsidRPr="00000000">
              <w:rPr>
                <w:rtl w:val="0"/>
              </w:rPr>
            </w:r>
          </w:p>
        </w:tc>
        <w:tc>
          <w:tcPr>
            <w:shd w:fill="edeff7" w:val="clear"/>
            <w:tcMar>
              <w:top w:w="80.0" w:type="dxa"/>
              <w:left w:w="100.0" w:type="dxa"/>
              <w:bottom w:w="80.0" w:type="dxa"/>
              <w:right w:w="100.0" w:type="dxa"/>
            </w:tcMar>
            <w:vAlign w:val="center"/>
          </w:tcPr>
          <w:p w:rsidR="00000000" w:rsidDel="00000000" w:rsidP="00000000" w:rsidRDefault="00000000" w:rsidRPr="00000000" w14:paraId="00000035">
            <w:pPr>
              <w:jc w:val="left"/>
              <w:rPr/>
            </w:pPr>
            <w:r w:rsidDel="00000000" w:rsidR="00000000" w:rsidRPr="00000000">
              <w:rPr>
                <w:rFonts w:ascii="Calibri" w:cs="Calibri" w:eastAsia="Calibri" w:hAnsi="Calibri"/>
                <w:b w:val="0"/>
                <w:bCs w:val="0"/>
                <w:color w:val="2b2b2b"/>
                <w:sz w:val="20"/>
                <w:szCs w:val="20"/>
                <w:rtl w:val="0"/>
              </w:rPr>
              <w:t xml:space="preserve">pytest + pytest-anyio + SQLAlchemy async</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36">
            <w:pPr>
              <w:jc w:val="left"/>
              <w:rPr/>
            </w:pPr>
            <w:r w:rsidDel="00000000" w:rsidR="00000000" w:rsidRPr="00000000">
              <w:rPr>
                <w:rFonts w:ascii="Calibri" w:cs="Calibri" w:eastAsia="Calibri" w:hAnsi="Calibri"/>
                <w:b w:val="0"/>
                <w:bCs w:val="0"/>
                <w:color w:val="2b2b2b"/>
                <w:sz w:val="20"/>
                <w:szCs w:val="20"/>
                <w:rtl w:val="0"/>
              </w:rPr>
              <w:t xml:space="preserve">Contrato / regresión</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37">
            <w:pPr>
              <w:jc w:val="left"/>
              <w:rPr/>
            </w:pPr>
            <w:r w:rsidDel="00000000" w:rsidR="00000000" w:rsidRPr="00000000">
              <w:rPr>
                <w:rFonts w:ascii="Calibri" w:cs="Calibri" w:eastAsia="Calibri" w:hAnsi="Calibri"/>
                <w:b w:val="0"/>
                <w:bCs w:val="0"/>
                <w:color w:val="2b2b2b"/>
                <w:sz w:val="20"/>
                <w:szCs w:val="20"/>
                <w:rtl w:val="0"/>
              </w:rPr>
              <w:t xml:space="preserve">Suite completa del monorepo para detectar efectos colaterales en otros módulos tras cada cambio.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38">
            <w:pPr>
              <w:jc w:val="left"/>
              <w:rPr/>
            </w:pPr>
            <w:r w:rsidDel="00000000" w:rsidR="00000000" w:rsidRPr="00000000">
              <w:rPr>
                <w:rFonts w:ascii="Calibri" w:cs="Calibri" w:eastAsia="Calibri" w:hAnsi="Calibri"/>
                <w:b w:val="0"/>
                <w:bCs w:val="0"/>
                <w:color w:val="2b2b2b"/>
                <w:sz w:val="20"/>
                <w:szCs w:val="20"/>
                <w:rtl w:val="0"/>
              </w:rPr>
              <w:t xml:space="preserve">uv run pytest (workspace completo)</w:t>
            </w:r>
            <w:r w:rsidDel="00000000" w:rsidR="00000000" w:rsidRPr="00000000">
              <w:rPr>
                <w:rtl w:val="0"/>
              </w:rPr>
            </w:r>
          </w:p>
        </w:tc>
      </w:tr>
      <w:tr>
        <w:trPr>
          <w:cantSplit w:val="0"/>
          <w:tblHeader w:val="0"/>
        </w:trPr>
        <w:tc>
          <w:tcPr>
            <w:shd w:fill="edeff7" w:val="clear"/>
            <w:tcMar>
              <w:top w:w="80.0" w:type="dxa"/>
              <w:left w:w="100.0" w:type="dxa"/>
              <w:bottom w:w="80.0" w:type="dxa"/>
              <w:right w:w="100.0" w:type="dxa"/>
            </w:tcMar>
            <w:vAlign w:val="center"/>
          </w:tcPr>
          <w:p w:rsidR="00000000" w:rsidDel="00000000" w:rsidP="00000000" w:rsidRDefault="00000000" w:rsidRPr="00000000" w14:paraId="00000039">
            <w:pPr>
              <w:jc w:val="left"/>
              <w:rPr/>
            </w:pPr>
            <w:r w:rsidDel="00000000" w:rsidR="00000000" w:rsidRPr="00000000">
              <w:rPr>
                <w:rFonts w:ascii="Calibri" w:cs="Calibri" w:eastAsia="Calibri" w:hAnsi="Calibri"/>
                <w:b w:val="0"/>
                <w:bCs w:val="0"/>
                <w:color w:val="2b2b2b"/>
                <w:sz w:val="20"/>
                <w:szCs w:val="20"/>
                <w:rtl w:val="0"/>
              </w:rPr>
              <w:t xml:space="preserve">Exploratoria / manual</w:t>
            </w:r>
            <w:r w:rsidDel="00000000" w:rsidR="00000000" w:rsidRPr="00000000">
              <w:rPr>
                <w:rtl w:val="0"/>
              </w:rPr>
            </w:r>
          </w:p>
        </w:tc>
        <w:tc>
          <w:tcPr>
            <w:shd w:fill="edeff7" w:val="clear"/>
            <w:tcMar>
              <w:top w:w="80.0" w:type="dxa"/>
              <w:left w:w="100.0" w:type="dxa"/>
              <w:bottom w:w="80.0" w:type="dxa"/>
              <w:right w:w="100.0" w:type="dxa"/>
            </w:tcMar>
            <w:vAlign w:val="center"/>
          </w:tcPr>
          <w:p w:rsidR="00000000" w:rsidDel="00000000" w:rsidP="00000000" w:rsidRDefault="00000000" w:rsidRPr="00000000" w14:paraId="0000003A">
            <w:pPr>
              <w:jc w:val="left"/>
              <w:rPr/>
            </w:pPr>
            <w:r w:rsidDel="00000000" w:rsidR="00000000" w:rsidRPr="00000000">
              <w:rPr>
                <w:rFonts w:ascii="Calibri" w:cs="Calibri" w:eastAsia="Calibri" w:hAnsi="Calibri"/>
                <w:b w:val="0"/>
                <w:bCs w:val="0"/>
                <w:color w:val="2b2b2b"/>
                <w:sz w:val="20"/>
                <w:szCs w:val="20"/>
                <w:rtl w:val="0"/>
              </w:rPr>
              <w:t xml:space="preserve">Verificación manual del flujo en el stack local (Docker Compose) antes de cada entrega de ticket.</w:t>
            </w:r>
            <w:r w:rsidDel="00000000" w:rsidR="00000000" w:rsidRPr="00000000">
              <w:rPr>
                <w:rtl w:val="0"/>
              </w:rPr>
            </w:r>
          </w:p>
        </w:tc>
        <w:tc>
          <w:tcPr>
            <w:shd w:fill="edeff7" w:val="clear"/>
            <w:tcMar>
              <w:top w:w="80.0" w:type="dxa"/>
              <w:left w:w="100.0" w:type="dxa"/>
              <w:bottom w:w="80.0" w:type="dxa"/>
              <w:right w:w="100.0" w:type="dxa"/>
            </w:tcMar>
            <w:vAlign w:val="center"/>
          </w:tcPr>
          <w:p w:rsidR="00000000" w:rsidDel="00000000" w:rsidP="00000000" w:rsidRDefault="00000000" w:rsidRPr="00000000" w14:paraId="0000003B">
            <w:pPr>
              <w:jc w:val="left"/>
              <w:rPr/>
            </w:pPr>
            <w:r w:rsidDel="00000000" w:rsidR="00000000" w:rsidRPr="00000000">
              <w:rPr>
                <w:rFonts w:ascii="Calibri" w:cs="Calibri" w:eastAsia="Calibri" w:hAnsi="Calibri"/>
                <w:b w:val="0"/>
                <w:bCs w:val="0"/>
                <w:color w:val="2b2b2b"/>
                <w:sz w:val="20"/>
                <w:szCs w:val="20"/>
                <w:rtl w:val="0"/>
              </w:rPr>
              <w:t xml:space="preserve">Docker Compose + psql + GitHub Desktop</w:t>
            </w:r>
            <w:r w:rsidDel="00000000" w:rsidR="00000000" w:rsidRPr="00000000">
              <w:rPr>
                <w:rtl w:val="0"/>
              </w:rPr>
            </w:r>
          </w:p>
        </w:tc>
      </w:tr>
    </w:tbl>
    <w:p w:rsidR="00000000" w:rsidDel="00000000" w:rsidP="00000000" w:rsidRDefault="00000000" w:rsidRPr="00000000" w14:paraId="0000003C">
      <w:pPr>
        <w:pStyle w:val="Heading2"/>
        <w:spacing w:after="120" w:before="260" w:lineRule="auto"/>
        <w:rPr/>
      </w:pPr>
      <w:r w:rsidDel="00000000" w:rsidR="00000000" w:rsidRPr="00000000">
        <w:rPr>
          <w:rFonts w:ascii="Cambria" w:cs="Cambria" w:eastAsia="Cambria" w:hAnsi="Cambria"/>
          <w:b w:val="1"/>
          <w:bCs w:val="1"/>
          <w:color w:val="121a47"/>
          <w:sz w:val="24"/>
          <w:szCs w:val="24"/>
          <w:rtl w:val="0"/>
        </w:rPr>
        <w:t xml:space="preserve">4.2 Tipos de prueba cubiertos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Pruebas de aislamiento (seguridad multi-tenant): confirman que RLS bloquea lectura y escritura cruzada entre organizaciones.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Pruebas de recall (calidad semántica): confirman el orden de resultados por similitud de coseno frente a un vector de consulta.</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Pruebas de idempotencia: confirman que reinsertar contenido idéntico no duplica ni reescribe, y que contenido distinto sí actualiza.</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Pruebas de normalización: confirman el mapeo correcto payload→ticket interno y el manejo de eventos ignorados o payloads inválidos.</w:t>
      </w:r>
    </w:p>
    <w:p w:rsidR="00000000" w:rsidDel="00000000" w:rsidP="00000000" w:rsidRDefault="00000000" w:rsidRPr="00000000" w14:paraId="00000041">
      <w:pPr>
        <w:pStyle w:val="Heading2"/>
        <w:spacing w:after="120" w:before="260" w:lineRule="auto"/>
        <w:rPr/>
      </w:pPr>
      <w:r w:rsidDel="00000000" w:rsidR="00000000" w:rsidRPr="00000000">
        <w:rPr>
          <w:rFonts w:ascii="Cambria" w:cs="Cambria" w:eastAsia="Cambria" w:hAnsi="Cambria"/>
          <w:b w:val="1"/>
          <w:bCs w:val="1"/>
          <w:color w:val="121a47"/>
          <w:sz w:val="24"/>
          <w:szCs w:val="24"/>
          <w:rtl w:val="0"/>
        </w:rPr>
        <w:t xml:space="preserve">4.3 Hallazgo arquitectónico relevante para la estrategia</w:t>
      </w:r>
      <w:r w:rsidDel="00000000" w:rsidR="00000000" w:rsidRPr="00000000">
        <w:rPr>
          <w:rtl w:val="0"/>
        </w:rPr>
      </w:r>
    </w:p>
    <w:p w:rsidR="00000000" w:rsidDel="00000000" w:rsidP="00000000" w:rsidRDefault="00000000" w:rsidRPr="00000000" w14:paraId="00000042">
      <w:pPr>
        <w:spacing w:after="120" w:line="276" w:lineRule="auto"/>
        <w:rPr/>
      </w:pPr>
      <w:r w:rsidDel="00000000" w:rsidR="00000000" w:rsidRPr="00000000">
        <w:rPr>
          <w:rFonts w:ascii="Calibri" w:cs="Calibri" w:eastAsia="Calibri" w:hAnsi="Calibri"/>
          <w:color w:val="2b2b2b"/>
          <w:sz w:val="22"/>
          <w:szCs w:val="22"/>
          <w:rtl w:val="0"/>
        </w:rPr>
        <w:t xml:space="preserve">Durante la implementación de KC-ONB-02-5 se confirmó que los roles kallicode_app y kallicode_admin definidos para RLS son roles de permisos sin privilegio de conexión (“Cannot login”), y que todo el entorno de desarrollo se conectaba como el superusuario postgres, el cual omite RLS por diseño de PostgreSQL (Bypass RLS). Esto significaba que ninguna prueba ejecutada contra ese usuario ejercitaba realmente las políticas de seguridad. La estrategia de pruebas de integración exige, en adelante, conectar con un rol de login dedicado sin bypass (seed db/seeds/dev_role.sql, rol kallicode_dev) para que las aserciones de aislamiento sean válidas.</w:t>
      </w:r>
      <w:r w:rsidDel="00000000" w:rsidR="00000000" w:rsidRPr="00000000">
        <w:rPr>
          <w:rtl w:val="0"/>
        </w:rPr>
      </w:r>
    </w:p>
    <w:p w:rsidR="00000000" w:rsidDel="00000000" w:rsidP="00000000" w:rsidRDefault="00000000" w:rsidRPr="00000000" w14:paraId="00000043">
      <w:pPr>
        <w:pStyle w:val="Heading1"/>
        <w:pBdr>
          <w:bottom w:color="1e2761" w:space="4" w:sz="12" w:val="single"/>
        </w:pBdr>
        <w:spacing w:after="160" w:before="360" w:lineRule="auto"/>
        <w:rPr/>
      </w:pPr>
      <w:r w:rsidDel="00000000" w:rsidR="00000000" w:rsidRPr="00000000">
        <w:rPr>
          <w:rFonts w:ascii="Cambria" w:cs="Cambria" w:eastAsia="Cambria" w:hAnsi="Cambria"/>
          <w:b w:val="1"/>
          <w:bCs w:val="1"/>
          <w:color w:val="1e2761"/>
          <w:sz w:val="30"/>
          <w:szCs w:val="30"/>
          <w:rtl w:val="0"/>
        </w:rPr>
        <w:t xml:space="preserve">5. Ambiente de pruebas</w:t>
      </w:r>
      <w:r w:rsidDel="00000000" w:rsidR="00000000" w:rsidRPr="00000000">
        <w:rPr>
          <w:rtl w:val="0"/>
        </w:rPr>
      </w:r>
    </w:p>
    <w:p w:rsidR="00000000" w:rsidDel="00000000" w:rsidP="00000000" w:rsidRDefault="00000000" w:rsidRPr="00000000" w14:paraId="00000044">
      <w:pPr>
        <w:pStyle w:val="Heading2"/>
        <w:spacing w:after="120" w:before="260" w:lineRule="auto"/>
        <w:rPr/>
      </w:pPr>
      <w:r w:rsidDel="00000000" w:rsidR="00000000" w:rsidRPr="00000000">
        <w:rPr>
          <w:rFonts w:ascii="Cambria" w:cs="Cambria" w:eastAsia="Cambria" w:hAnsi="Cambria"/>
          <w:b w:val="1"/>
          <w:bCs w:val="1"/>
          <w:color w:val="121a47"/>
          <w:sz w:val="24"/>
          <w:szCs w:val="24"/>
          <w:rtl w:val="0"/>
        </w:rPr>
        <w:t xml:space="preserve">5.1 Infraestructura local</w:t>
      </w:r>
      <w:r w:rsidDel="00000000" w:rsidR="00000000" w:rsidRPr="00000000">
        <w:rPr>
          <w:rtl w:val="0"/>
        </w:rPr>
      </w:r>
    </w:p>
    <w:p w:rsidR="00000000" w:rsidDel="00000000" w:rsidP="00000000" w:rsidRDefault="00000000" w:rsidRPr="00000000" w14:paraId="00000045">
      <w:pPr>
        <w:spacing w:after="120" w:line="276" w:lineRule="auto"/>
        <w:rPr/>
      </w:pPr>
      <w:r w:rsidDel="00000000" w:rsidR="00000000" w:rsidRPr="00000000">
        <w:rPr>
          <w:rFonts w:ascii="Calibri" w:cs="Calibri" w:eastAsia="Calibri" w:hAnsi="Calibri"/>
          <w:color w:val="2b2b2b"/>
          <w:sz w:val="22"/>
          <w:szCs w:val="22"/>
          <w:rtl w:val="0"/>
        </w:rPr>
        <w:t xml:space="preserve">El ambiente de pruebas se levanta con Docker Compose e incluye los siguientes servicios: PostgreSQL 16 con la extensión pgvector (esquemas core, cm, vec y audit), Redis (Streams, utilizado como orquestador de colas), Azurite (emulador de almacenamiento), Mailpit (captura de correo saliente) y un servicio de embeddings (TEI) que sirve el modelo BGE-M3.</w:t>
      </w:r>
      <w:r w:rsidDel="00000000" w:rsidR="00000000" w:rsidRPr="00000000">
        <w:rPr>
          <w:rtl w:val="0"/>
        </w:rPr>
      </w:r>
    </w:p>
    <w:p w:rsidR="00000000" w:rsidDel="00000000" w:rsidP="00000000" w:rsidRDefault="00000000" w:rsidRPr="00000000" w14:paraId="00000046">
      <w:pPr>
        <w:pStyle w:val="Heading2"/>
        <w:spacing w:after="120" w:before="260" w:lineRule="auto"/>
        <w:rPr/>
      </w:pPr>
      <w:r w:rsidDel="00000000" w:rsidR="00000000" w:rsidRPr="00000000">
        <w:rPr>
          <w:rFonts w:ascii="Cambria" w:cs="Cambria" w:eastAsia="Cambria" w:hAnsi="Cambria"/>
          <w:b w:val="1"/>
          <w:bCs w:val="1"/>
          <w:color w:val="121a47"/>
          <w:sz w:val="24"/>
          <w:szCs w:val="24"/>
          <w:rtl w:val="0"/>
        </w:rPr>
        <w:t xml:space="preserve">5.2 Dependencias de ejecución</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Python 3.12 gestionado con uv (monorepo workspace: packages/core, apps/workers, apps/api).</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pytest con el plugin pytest-anyio para pruebas asíncronas, y respx para mocks HTTP.</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SQLAlchemy (motor asíncrono, asyncpg) para la conexión a Postgres.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Rol de base de datos kallicode_dev (LOGIN, hereda kallicode_app, sin Bypass RLS) para las pruebas de integración.</w:t>
      </w:r>
    </w:p>
    <w:p w:rsidR="00000000" w:rsidDel="00000000" w:rsidP="00000000" w:rsidRDefault="00000000" w:rsidRPr="00000000" w14:paraId="0000004B">
      <w:pPr>
        <w:pStyle w:val="Heading2"/>
        <w:spacing w:after="120" w:before="260" w:lineRule="auto"/>
        <w:rPr/>
      </w:pPr>
      <w:r w:rsidDel="00000000" w:rsidR="00000000" w:rsidRPr="00000000">
        <w:rPr>
          <w:rFonts w:ascii="Cambria" w:cs="Cambria" w:eastAsia="Cambria" w:hAnsi="Cambria"/>
          <w:b w:val="1"/>
          <w:bCs w:val="1"/>
          <w:color w:val="121a47"/>
          <w:sz w:val="24"/>
          <w:szCs w:val="24"/>
          <w:rtl w:val="0"/>
        </w:rPr>
        <w:t xml:space="preserve">5.3 Datos de prueba</w:t>
      </w:r>
      <w:r w:rsidDel="00000000" w:rsidR="00000000" w:rsidRPr="00000000">
        <w:rPr>
          <w:rtl w:val="0"/>
        </w:rPr>
      </w:r>
    </w:p>
    <w:p w:rsidR="00000000" w:rsidDel="00000000" w:rsidP="00000000" w:rsidRDefault="00000000" w:rsidRPr="00000000" w14:paraId="0000004C">
      <w:pPr>
        <w:spacing w:after="120" w:line="276" w:lineRule="auto"/>
        <w:rPr/>
      </w:pPr>
      <w:r w:rsidDel="00000000" w:rsidR="00000000" w:rsidRPr="00000000">
        <w:rPr>
          <w:rFonts w:ascii="Calibri" w:cs="Calibri" w:eastAsia="Calibri" w:hAnsi="Calibri"/>
          <w:color w:val="2b2b2b"/>
          <w:sz w:val="22"/>
          <w:szCs w:val="22"/>
          <w:rtl w:val="0"/>
        </w:rPr>
        <w:t xml:space="preserve">Cada prueba de integración crea y elimina sus propios datos (organizaciones de prueba con prefijo org_test_, generadas con identificadores aleatorios) dentro de la misma ejecución, para no depender de datos persistentes ni de ejecuciones anteriores. Las fixtures se encargan del alta y baja de estos registros en core.organizations.</w:t>
      </w:r>
      <w:r w:rsidDel="00000000" w:rsidR="00000000" w:rsidRPr="00000000">
        <w:rPr>
          <w:rtl w:val="0"/>
        </w:rPr>
      </w:r>
    </w:p>
    <w:p w:rsidR="00000000" w:rsidDel="00000000" w:rsidP="00000000" w:rsidRDefault="00000000" w:rsidRPr="00000000" w14:paraId="0000004D">
      <w:pPr>
        <w:pStyle w:val="Heading1"/>
        <w:pBdr>
          <w:bottom w:color="1e2761" w:space="4" w:sz="12" w:val="single"/>
        </w:pBdr>
        <w:spacing w:after="160" w:before="360" w:lineRule="auto"/>
        <w:rPr/>
      </w:pPr>
      <w:r w:rsidDel="00000000" w:rsidR="00000000" w:rsidRPr="00000000">
        <w:rPr>
          <w:rFonts w:ascii="Cambria" w:cs="Cambria" w:eastAsia="Cambria" w:hAnsi="Cambria"/>
          <w:b w:val="1"/>
          <w:bCs w:val="1"/>
          <w:color w:val="1e2761"/>
          <w:sz w:val="30"/>
          <w:szCs w:val="30"/>
          <w:rtl w:val="0"/>
        </w:rPr>
        <w:t xml:space="preserve">6. Suite de referencia: capa vectorial (KC-ONB-02-5)</w:t>
      </w:r>
      <w:r w:rsidDel="00000000" w:rsidR="00000000" w:rsidRPr="00000000">
        <w:rPr>
          <w:rtl w:val="0"/>
        </w:rPr>
      </w:r>
    </w:p>
    <w:p w:rsidR="00000000" w:rsidDel="00000000" w:rsidP="00000000" w:rsidRDefault="00000000" w:rsidRPr="00000000" w14:paraId="0000004E">
      <w:pPr>
        <w:spacing w:after="120" w:line="276" w:lineRule="auto"/>
        <w:rPr/>
      </w:pPr>
      <w:r w:rsidDel="00000000" w:rsidR="00000000" w:rsidRPr="00000000">
        <w:rPr>
          <w:rFonts w:ascii="Calibri" w:cs="Calibri" w:eastAsia="Calibri" w:hAnsi="Calibri"/>
          <w:color w:val="2b2b2b"/>
          <w:sz w:val="22"/>
          <w:szCs w:val="22"/>
          <w:rtl w:val="0"/>
        </w:rPr>
        <w:t xml:space="preserve">La suite packages/core/test/test_vec_capa_vectorial.py es la referencia concreta de este plan: materializa los cuatro tipos de prueba descritos en la sección 4.2 sobre un componente real y crítico del sistema (la capa vectorial). El detalle caso por caso se documenta en el documento Casos de Prueba que acompaña a este plan.</w:t>
      </w:r>
      <w:r w:rsidDel="00000000" w:rsidR="00000000" w:rsidRPr="00000000">
        <w:rPr>
          <w:rtl w:val="0"/>
        </w:rPr>
      </w:r>
    </w:p>
    <w:tbl>
      <w:tblPr>
        <w:tblStyle w:val="Table3"/>
        <w:tblW w:w="9600.0" w:type="dxa"/>
        <w:jc w:val="left"/>
        <w:tblBorders>
          <w:top w:color="c9ccdb" w:space="0" w:sz="4" w:val="single"/>
          <w:left w:color="c9ccdb" w:space="0" w:sz="4" w:val="single"/>
          <w:bottom w:color="c9ccdb" w:space="0" w:sz="4" w:val="single"/>
          <w:right w:color="c9ccdb" w:space="0" w:sz="4" w:val="single"/>
          <w:insideH w:color="c9ccdb" w:space="0" w:sz="4" w:val="single"/>
          <w:insideV w:color="c9ccdb" w:space="0" w:sz="4" w:val="single"/>
        </w:tblBorders>
        <w:tblLayout w:type="fixed"/>
        <w:tblLook w:val="0000"/>
      </w:tblPr>
      <w:tblGrid>
        <w:gridCol w:w="3400"/>
        <w:gridCol w:w="1800"/>
        <w:gridCol w:w="4400"/>
        <w:tblGridChange w:id="0">
          <w:tblGrid>
            <w:gridCol w:w="3400"/>
            <w:gridCol w:w="1800"/>
            <w:gridCol w:w="4400"/>
          </w:tblGrid>
        </w:tblGridChange>
      </w:tblGrid>
      <w:tr>
        <w:trPr>
          <w:cantSplit w:val="0"/>
          <w:tblHeader w:val="1"/>
        </w:trPr>
        <w:tc>
          <w:tcPr>
            <w:shd w:fill="1e2761" w:val="clear"/>
            <w:tcMar>
              <w:top w:w="80.0" w:type="dxa"/>
              <w:left w:w="100.0" w:type="dxa"/>
              <w:bottom w:w="80.0" w:type="dxa"/>
              <w:right w:w="100.0" w:type="dxa"/>
            </w:tcMar>
            <w:vAlign w:val="center"/>
          </w:tcPr>
          <w:p w:rsidR="00000000" w:rsidDel="00000000" w:rsidP="00000000" w:rsidRDefault="00000000" w:rsidRPr="00000000" w14:paraId="0000004F">
            <w:pPr>
              <w:jc w:val="center"/>
              <w:rPr/>
            </w:pPr>
            <w:r w:rsidDel="00000000" w:rsidR="00000000" w:rsidRPr="00000000">
              <w:rPr>
                <w:rFonts w:ascii="Calibri" w:cs="Calibri" w:eastAsia="Calibri" w:hAnsi="Calibri"/>
                <w:b w:val="1"/>
                <w:bCs w:val="1"/>
                <w:color w:val="ffffff"/>
                <w:sz w:val="20"/>
                <w:szCs w:val="20"/>
                <w:rtl w:val="0"/>
              </w:rPr>
              <w:t xml:space="preserve">Clase de prueba</w:t>
            </w:r>
            <w:r w:rsidDel="00000000" w:rsidR="00000000" w:rsidRPr="00000000">
              <w:rPr>
                <w:rtl w:val="0"/>
              </w:rPr>
            </w:r>
          </w:p>
        </w:tc>
        <w:tc>
          <w:tcPr>
            <w:shd w:fill="1e2761" w:val="clear"/>
            <w:tcMar>
              <w:top w:w="80.0" w:type="dxa"/>
              <w:left w:w="100.0" w:type="dxa"/>
              <w:bottom w:w="80.0" w:type="dxa"/>
              <w:right w:w="100.0" w:type="dxa"/>
            </w:tcMar>
            <w:vAlign w:val="center"/>
          </w:tcPr>
          <w:p w:rsidR="00000000" w:rsidDel="00000000" w:rsidP="00000000" w:rsidRDefault="00000000" w:rsidRPr="00000000" w14:paraId="00000050">
            <w:pPr>
              <w:jc w:val="center"/>
              <w:rPr/>
            </w:pPr>
            <w:r w:rsidDel="00000000" w:rsidR="00000000" w:rsidRPr="00000000">
              <w:rPr>
                <w:rFonts w:ascii="Calibri" w:cs="Calibri" w:eastAsia="Calibri" w:hAnsi="Calibri"/>
                <w:b w:val="1"/>
                <w:bCs w:val="1"/>
                <w:color w:val="ffffff"/>
                <w:sz w:val="20"/>
                <w:szCs w:val="20"/>
                <w:rtl w:val="0"/>
              </w:rPr>
              <w:t xml:space="preserve">N° de casos</w:t>
            </w:r>
            <w:r w:rsidDel="00000000" w:rsidR="00000000" w:rsidRPr="00000000">
              <w:rPr>
                <w:rtl w:val="0"/>
              </w:rPr>
            </w:r>
          </w:p>
        </w:tc>
        <w:tc>
          <w:tcPr>
            <w:shd w:fill="1e2761" w:val="clear"/>
            <w:tcMar>
              <w:top w:w="80.0" w:type="dxa"/>
              <w:left w:w="100.0" w:type="dxa"/>
              <w:bottom w:w="80.0" w:type="dxa"/>
              <w:right w:w="100.0" w:type="dxa"/>
            </w:tcMar>
            <w:vAlign w:val="center"/>
          </w:tcPr>
          <w:p w:rsidR="00000000" w:rsidDel="00000000" w:rsidP="00000000" w:rsidRDefault="00000000" w:rsidRPr="00000000" w14:paraId="00000051">
            <w:pPr>
              <w:jc w:val="center"/>
              <w:rPr/>
            </w:pPr>
            <w:r w:rsidDel="00000000" w:rsidR="00000000" w:rsidRPr="00000000">
              <w:rPr>
                <w:rFonts w:ascii="Calibri" w:cs="Calibri" w:eastAsia="Calibri" w:hAnsi="Calibri"/>
                <w:b w:val="1"/>
                <w:bCs w:val="1"/>
                <w:color w:val="ffffff"/>
                <w:sz w:val="20"/>
                <w:szCs w:val="20"/>
                <w:rtl w:val="0"/>
              </w:rPr>
              <w:t xml:space="preserve">Propiedad verificada</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52">
            <w:pPr>
              <w:jc w:val="left"/>
              <w:rPr/>
            </w:pPr>
            <w:r w:rsidDel="00000000" w:rsidR="00000000" w:rsidRPr="00000000">
              <w:rPr>
                <w:rFonts w:ascii="Calibri" w:cs="Calibri" w:eastAsia="Calibri" w:hAnsi="Calibri"/>
                <w:b w:val="0"/>
                <w:bCs w:val="0"/>
                <w:color w:val="2b2b2b"/>
                <w:sz w:val="20"/>
                <w:szCs w:val="20"/>
                <w:rtl w:val="0"/>
              </w:rPr>
              <w:t xml:space="preserve">TestAislamiento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53">
            <w:pPr>
              <w:jc w:val="left"/>
              <w:rPr/>
            </w:pPr>
            <w:r w:rsidDel="00000000" w:rsidR="00000000" w:rsidRPr="00000000">
              <w:rPr>
                <w:rFonts w:ascii="Calibri" w:cs="Calibri" w:eastAsia="Calibri" w:hAnsi="Calibri"/>
                <w:b w:val="0"/>
                <w:bCs w:val="0"/>
                <w:color w:val="2b2b2b"/>
                <w:sz w:val="20"/>
                <w:szCs w:val="20"/>
                <w:rtl w:val="0"/>
              </w:rPr>
              <w:t xml:space="preserve">2</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54">
            <w:pPr>
              <w:jc w:val="left"/>
              <w:rPr/>
            </w:pPr>
            <w:r w:rsidDel="00000000" w:rsidR="00000000" w:rsidRPr="00000000">
              <w:rPr>
                <w:rFonts w:ascii="Calibri" w:cs="Calibri" w:eastAsia="Calibri" w:hAnsi="Calibri"/>
                <w:b w:val="0"/>
                <w:bCs w:val="0"/>
                <w:color w:val="2b2b2b"/>
                <w:sz w:val="20"/>
                <w:szCs w:val="20"/>
                <w:rtl w:val="0"/>
              </w:rPr>
              <w:t xml:space="preserve">RLS bloquea lectura y escritura cruzada entre tenants</w:t>
            </w:r>
            <w:r w:rsidDel="00000000" w:rsidR="00000000" w:rsidRPr="00000000">
              <w:rPr>
                <w:rtl w:val="0"/>
              </w:rPr>
            </w:r>
          </w:p>
        </w:tc>
      </w:tr>
      <w:tr>
        <w:trPr>
          <w:cantSplit w:val="0"/>
          <w:tblHeader w:val="0"/>
        </w:trPr>
        <w:tc>
          <w:tcPr>
            <w:shd w:fill="edeff7" w:val="clear"/>
            <w:tcMar>
              <w:top w:w="80.0" w:type="dxa"/>
              <w:left w:w="100.0" w:type="dxa"/>
              <w:bottom w:w="80.0" w:type="dxa"/>
              <w:right w:w="100.0" w:type="dxa"/>
            </w:tcMar>
            <w:vAlign w:val="center"/>
          </w:tcPr>
          <w:p w:rsidR="00000000" w:rsidDel="00000000" w:rsidP="00000000" w:rsidRDefault="00000000" w:rsidRPr="00000000" w14:paraId="00000055">
            <w:pPr>
              <w:jc w:val="left"/>
              <w:rPr/>
            </w:pPr>
            <w:r w:rsidDel="00000000" w:rsidR="00000000" w:rsidRPr="00000000">
              <w:rPr>
                <w:rFonts w:ascii="Calibri" w:cs="Calibri" w:eastAsia="Calibri" w:hAnsi="Calibri"/>
                <w:b w:val="0"/>
                <w:bCs w:val="0"/>
                <w:color w:val="2b2b2b"/>
                <w:sz w:val="20"/>
                <w:szCs w:val="20"/>
                <w:rtl w:val="0"/>
              </w:rPr>
              <w:t xml:space="preserve">TestRecall</w:t>
            </w:r>
            <w:r w:rsidDel="00000000" w:rsidR="00000000" w:rsidRPr="00000000">
              <w:rPr>
                <w:rtl w:val="0"/>
              </w:rPr>
            </w:r>
          </w:p>
        </w:tc>
        <w:tc>
          <w:tcPr>
            <w:shd w:fill="edeff7" w:val="clear"/>
            <w:tcMar>
              <w:top w:w="80.0" w:type="dxa"/>
              <w:left w:w="100.0" w:type="dxa"/>
              <w:bottom w:w="80.0" w:type="dxa"/>
              <w:right w:w="100.0" w:type="dxa"/>
            </w:tcMar>
            <w:vAlign w:val="center"/>
          </w:tcPr>
          <w:p w:rsidR="00000000" w:rsidDel="00000000" w:rsidP="00000000" w:rsidRDefault="00000000" w:rsidRPr="00000000" w14:paraId="00000056">
            <w:pPr>
              <w:jc w:val="left"/>
              <w:rPr/>
            </w:pPr>
            <w:r w:rsidDel="00000000" w:rsidR="00000000" w:rsidRPr="00000000">
              <w:rPr>
                <w:rFonts w:ascii="Calibri" w:cs="Calibri" w:eastAsia="Calibri" w:hAnsi="Calibri"/>
                <w:b w:val="0"/>
                <w:bCs w:val="0"/>
                <w:color w:val="2b2b2b"/>
                <w:sz w:val="20"/>
                <w:szCs w:val="20"/>
                <w:rtl w:val="0"/>
              </w:rPr>
              <w:t xml:space="preserve">1</w:t>
            </w:r>
            <w:r w:rsidDel="00000000" w:rsidR="00000000" w:rsidRPr="00000000">
              <w:rPr>
                <w:rtl w:val="0"/>
              </w:rPr>
            </w:r>
          </w:p>
        </w:tc>
        <w:tc>
          <w:tcPr>
            <w:shd w:fill="edeff7" w:val="clear"/>
            <w:tcMar>
              <w:top w:w="80.0" w:type="dxa"/>
              <w:left w:w="100.0" w:type="dxa"/>
              <w:bottom w:w="80.0" w:type="dxa"/>
              <w:right w:w="100.0" w:type="dxa"/>
            </w:tcMar>
            <w:vAlign w:val="center"/>
          </w:tcPr>
          <w:p w:rsidR="00000000" w:rsidDel="00000000" w:rsidP="00000000" w:rsidRDefault="00000000" w:rsidRPr="00000000" w14:paraId="00000057">
            <w:pPr>
              <w:jc w:val="left"/>
              <w:rPr/>
            </w:pPr>
            <w:r w:rsidDel="00000000" w:rsidR="00000000" w:rsidRPr="00000000">
              <w:rPr>
                <w:rFonts w:ascii="Calibri" w:cs="Calibri" w:eastAsia="Calibri" w:hAnsi="Calibri"/>
                <w:b w:val="0"/>
                <w:bCs w:val="0"/>
                <w:color w:val="2b2b2b"/>
                <w:sz w:val="20"/>
                <w:szCs w:val="20"/>
                <w:rtl w:val="0"/>
              </w:rPr>
              <w:t xml:space="preserve">Orden de resultados por similitud de coseno</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58">
            <w:pPr>
              <w:jc w:val="left"/>
              <w:rPr/>
            </w:pPr>
            <w:r w:rsidDel="00000000" w:rsidR="00000000" w:rsidRPr="00000000">
              <w:rPr>
                <w:rFonts w:ascii="Calibri" w:cs="Calibri" w:eastAsia="Calibri" w:hAnsi="Calibri"/>
                <w:b w:val="0"/>
                <w:bCs w:val="0"/>
                <w:color w:val="2b2b2b"/>
                <w:sz w:val="20"/>
                <w:szCs w:val="20"/>
                <w:rtl w:val="0"/>
              </w:rPr>
              <w:t xml:space="preserve">TestIdempotencia</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59">
            <w:pPr>
              <w:jc w:val="left"/>
              <w:rPr/>
            </w:pPr>
            <w:r w:rsidDel="00000000" w:rsidR="00000000" w:rsidRPr="00000000">
              <w:rPr>
                <w:rFonts w:ascii="Calibri" w:cs="Calibri" w:eastAsia="Calibri" w:hAnsi="Calibri"/>
                <w:b w:val="0"/>
                <w:bCs w:val="0"/>
                <w:color w:val="2b2b2b"/>
                <w:sz w:val="20"/>
                <w:szCs w:val="20"/>
                <w:rtl w:val="0"/>
              </w:rPr>
              <w:t xml:space="preserve">2</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5A">
            <w:pPr>
              <w:jc w:val="left"/>
              <w:rPr/>
            </w:pPr>
            <w:r w:rsidDel="00000000" w:rsidR="00000000" w:rsidRPr="00000000">
              <w:rPr>
                <w:rFonts w:ascii="Calibri" w:cs="Calibri" w:eastAsia="Calibri" w:hAnsi="Calibri"/>
                <w:b w:val="0"/>
                <w:bCs w:val="0"/>
                <w:color w:val="2b2b2b"/>
                <w:sz w:val="20"/>
                <w:szCs w:val="20"/>
                <w:rtl w:val="0"/>
              </w:rPr>
              <w:t xml:space="preserve">Upsert no reescribe contenido sin cambios; sí actualiza contenido distinto</w:t>
            </w:r>
            <w:r w:rsidDel="00000000" w:rsidR="00000000" w:rsidRPr="00000000">
              <w:rPr>
                <w:rtl w:val="0"/>
              </w:rPr>
            </w:r>
          </w:p>
        </w:tc>
      </w:tr>
    </w:tbl>
    <w:p w:rsidR="00000000" w:rsidDel="00000000" w:rsidP="00000000" w:rsidRDefault="00000000" w:rsidRPr="00000000" w14:paraId="0000005B">
      <w:pPr>
        <w:spacing w:after="120" w:line="276" w:lineRule="auto"/>
        <w:rPr>
          <w:rFonts w:ascii="Calibri" w:cs="Calibri" w:eastAsia="Calibri" w:hAnsi="Calibri"/>
          <w:color w:val="2b2b2b"/>
          <w:sz w:val="22"/>
          <w:szCs w:val="22"/>
        </w:rPr>
      </w:pPr>
      <w:r w:rsidDel="00000000" w:rsidR="00000000" w:rsidRPr="00000000">
        <w:rPr>
          <w:rFonts w:ascii="Calibri" w:cs="Calibri" w:eastAsia="Calibri" w:hAnsi="Calibri"/>
          <w:color w:val="2b2b2b"/>
          <w:sz w:val="22"/>
          <w:szCs w:val="22"/>
          <w:rtl w:val="0"/>
        </w:rPr>
        <w:t xml:space="preserve">Resultado de la última ejecución registrada: </w:t>
      </w:r>
      <w:r w:rsidDel="00000000" w:rsidR="00000000" w:rsidRPr="00000000">
        <w:rPr>
          <w:rFonts w:ascii="Calibri" w:cs="Calibri" w:eastAsia="Calibri" w:hAnsi="Calibri"/>
          <w:b w:val="1"/>
          <w:bCs w:val="1"/>
          <w:color w:val="1e2761"/>
          <w:sz w:val="22"/>
          <w:szCs w:val="22"/>
          <w:rtl w:val="0"/>
        </w:rPr>
        <w:t xml:space="preserve">5 passed in 1.60s</w:t>
      </w:r>
      <w:r w:rsidDel="00000000" w:rsidR="00000000" w:rsidRPr="00000000">
        <w:rPr>
          <w:rFonts w:ascii="Calibri" w:cs="Calibri" w:eastAsia="Calibri" w:hAnsi="Calibri"/>
          <w:color w:val="2b2b2b"/>
          <w:sz w:val="22"/>
          <w:szCs w:val="22"/>
          <w:rtl w:val="0"/>
        </w:rPr>
        <w:t xml:space="preserve"> (ver evidencia en el documento de Resultados de las Pruebas).</w:t>
      </w:r>
    </w:p>
    <w:p w:rsidR="00000000" w:rsidDel="00000000" w:rsidP="00000000" w:rsidRDefault="00000000" w:rsidRPr="00000000" w14:paraId="0000005C">
      <w:pPr>
        <w:spacing w:after="120" w:line="276" w:lineRule="auto"/>
        <w:rPr/>
      </w:pPr>
      <w:r w:rsidDel="00000000" w:rsidR="00000000" w:rsidRPr="00000000">
        <w:rPr>
          <w:rtl w:val="0"/>
        </w:rPr>
        <w:t xml:space="preserve">Adicionalmente a la capa vectorial, la suite de referencia incorpora la ejecución completa de CodeMapping, validando las pruebas de mutación correspondientes al ticket KC-CM-06-6 y los contratos JSON de cm-stats. Los resultados de esta suite global arrojaron 315 pruebas aprobadas, 15 omitidas y 1 xfailed. </w:t>
      </w:r>
    </w:p>
    <w:p w:rsidR="00000000" w:rsidDel="00000000" w:rsidP="00000000" w:rsidRDefault="00000000" w:rsidRPr="00000000" w14:paraId="0000005D">
      <w:pPr>
        <w:pStyle w:val="Heading1"/>
        <w:pBdr>
          <w:bottom w:color="1e2761" w:space="4" w:sz="12" w:val="single"/>
        </w:pBdr>
        <w:spacing w:after="160" w:before="360" w:lineRule="auto"/>
        <w:rPr/>
      </w:pPr>
      <w:r w:rsidDel="00000000" w:rsidR="00000000" w:rsidRPr="00000000">
        <w:rPr>
          <w:rFonts w:ascii="Cambria" w:cs="Cambria" w:eastAsia="Cambria" w:hAnsi="Cambria"/>
          <w:b w:val="1"/>
          <w:bCs w:val="1"/>
          <w:color w:val="1e2761"/>
          <w:sz w:val="30"/>
          <w:szCs w:val="30"/>
          <w:rtl w:val="0"/>
        </w:rPr>
        <w:t xml:space="preserve">7. Criterios de entrada y salida</w:t>
      </w:r>
      <w:r w:rsidDel="00000000" w:rsidR="00000000" w:rsidRPr="00000000">
        <w:rPr>
          <w:rtl w:val="0"/>
        </w:rPr>
      </w:r>
    </w:p>
    <w:p w:rsidR="00000000" w:rsidDel="00000000" w:rsidP="00000000" w:rsidRDefault="00000000" w:rsidRPr="00000000" w14:paraId="0000005E">
      <w:pPr>
        <w:pStyle w:val="Heading2"/>
        <w:spacing w:after="120" w:before="260" w:lineRule="auto"/>
        <w:rPr/>
      </w:pPr>
      <w:r w:rsidDel="00000000" w:rsidR="00000000" w:rsidRPr="00000000">
        <w:rPr>
          <w:rFonts w:ascii="Cambria" w:cs="Cambria" w:eastAsia="Cambria" w:hAnsi="Cambria"/>
          <w:b w:val="1"/>
          <w:bCs w:val="1"/>
          <w:color w:val="121a47"/>
          <w:sz w:val="24"/>
          <w:szCs w:val="24"/>
          <w:rtl w:val="0"/>
        </w:rPr>
        <w:t xml:space="preserve">7.1 Criterios de entrada</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El ambiente Docker Compose está activo y los esquemas de base de datos (core, cm, vec, audit) aplicados.</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El rol kallicode_dev existe y hereda kallicode_app (seed db/seeds/dev_role.sql ejecutado).</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El código a probar está integrado en la rama de trabajo y sus dependencias declaradas en el pyproject.toml correspondiente.</w:t>
      </w:r>
    </w:p>
    <w:p w:rsidR="00000000" w:rsidDel="00000000" w:rsidP="00000000" w:rsidRDefault="00000000" w:rsidRPr="00000000" w14:paraId="00000062">
      <w:pPr>
        <w:pStyle w:val="Heading2"/>
        <w:spacing w:after="120" w:before="260" w:lineRule="auto"/>
        <w:rPr/>
      </w:pPr>
      <w:r w:rsidDel="00000000" w:rsidR="00000000" w:rsidRPr="00000000">
        <w:rPr>
          <w:rFonts w:ascii="Cambria" w:cs="Cambria" w:eastAsia="Cambria" w:hAnsi="Cambria"/>
          <w:b w:val="1"/>
          <w:bCs w:val="1"/>
          <w:color w:val="121a47"/>
          <w:sz w:val="24"/>
          <w:szCs w:val="24"/>
          <w:rtl w:val="0"/>
        </w:rPr>
        <w:t xml:space="preserve">7.2 Criterios de salida</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100% de los casos de prueba de la suite de referencia (sección 6) en estado PASSED.</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Ningún defecto abierto de severidad alta o crítica asociado al componente bajo prueba.</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La ejecución de la suite completa del workspace no introduce nuevas fallas respecto a la línea base (regresión).</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El ticket Jira correspondiente cuenta con evidencia de ejecución adjunta y ha sido movido a su estado de cierre (Listo / En revisión).</w:t>
      </w:r>
    </w:p>
    <w:p w:rsidR="00000000" w:rsidDel="00000000" w:rsidP="00000000" w:rsidRDefault="00000000" w:rsidRPr="00000000" w14:paraId="00000067">
      <w:pPr>
        <w:pStyle w:val="Heading1"/>
        <w:pBdr>
          <w:bottom w:color="1e2761" w:space="4" w:sz="12" w:val="single"/>
        </w:pBdr>
        <w:spacing w:after="160" w:before="360" w:lineRule="auto"/>
        <w:rPr/>
      </w:pPr>
      <w:r w:rsidDel="00000000" w:rsidR="00000000" w:rsidRPr="00000000">
        <w:rPr>
          <w:rFonts w:ascii="Cambria" w:cs="Cambria" w:eastAsia="Cambria" w:hAnsi="Cambria"/>
          <w:b w:val="1"/>
          <w:bCs w:val="1"/>
          <w:color w:val="1e2761"/>
          <w:sz w:val="30"/>
          <w:szCs w:val="30"/>
          <w:rtl w:val="0"/>
        </w:rPr>
        <w:t xml:space="preserve">8. Roles y responsabilidades</w:t>
      </w:r>
      <w:r w:rsidDel="00000000" w:rsidR="00000000" w:rsidRPr="00000000">
        <w:rPr>
          <w:rtl w:val="0"/>
        </w:rPr>
      </w:r>
    </w:p>
    <w:tbl>
      <w:tblPr>
        <w:tblStyle w:val="Table4"/>
        <w:tblW w:w="8600.0" w:type="dxa"/>
        <w:jc w:val="left"/>
        <w:tblBorders>
          <w:top w:color="c9ccdb" w:space="0" w:sz="4" w:val="single"/>
          <w:left w:color="c9ccdb" w:space="0" w:sz="4" w:val="single"/>
          <w:bottom w:color="c9ccdb" w:space="0" w:sz="4" w:val="single"/>
          <w:right w:color="c9ccdb" w:space="0" w:sz="4" w:val="single"/>
          <w:insideH w:color="c9ccdb" w:space="0" w:sz="4" w:val="single"/>
          <w:insideV w:color="c9ccdb" w:space="0" w:sz="4" w:val="single"/>
        </w:tblBorders>
        <w:tblLayout w:type="fixed"/>
        <w:tblLook w:val="0000"/>
      </w:tblPr>
      <w:tblGrid>
        <w:gridCol w:w="2000"/>
        <w:gridCol w:w="3000"/>
        <w:gridCol w:w="3600"/>
        <w:tblGridChange w:id="0">
          <w:tblGrid>
            <w:gridCol w:w="2000"/>
            <w:gridCol w:w="3000"/>
            <w:gridCol w:w="3600"/>
          </w:tblGrid>
        </w:tblGridChange>
      </w:tblGrid>
      <w:tr>
        <w:trPr>
          <w:cantSplit w:val="0"/>
          <w:tblHeader w:val="1"/>
        </w:trPr>
        <w:tc>
          <w:tcPr>
            <w:shd w:fill="1e2761" w:val="clear"/>
            <w:tcMar>
              <w:top w:w="80.0" w:type="dxa"/>
              <w:left w:w="100.0" w:type="dxa"/>
              <w:bottom w:w="80.0" w:type="dxa"/>
              <w:right w:w="100.0" w:type="dxa"/>
            </w:tcMar>
            <w:vAlign w:val="center"/>
          </w:tcPr>
          <w:p w:rsidR="00000000" w:rsidDel="00000000" w:rsidP="00000000" w:rsidRDefault="00000000" w:rsidRPr="00000000" w14:paraId="00000068">
            <w:pPr>
              <w:jc w:val="center"/>
              <w:rPr/>
            </w:pPr>
            <w:r w:rsidDel="00000000" w:rsidR="00000000" w:rsidRPr="00000000">
              <w:rPr>
                <w:rFonts w:ascii="Calibri" w:cs="Calibri" w:eastAsia="Calibri" w:hAnsi="Calibri"/>
                <w:b w:val="1"/>
                <w:bCs w:val="1"/>
                <w:color w:val="ffffff"/>
                <w:sz w:val="20"/>
                <w:szCs w:val="20"/>
                <w:rtl w:val="0"/>
              </w:rPr>
              <w:t xml:space="preserve">Integrante</w:t>
            </w:r>
            <w:r w:rsidDel="00000000" w:rsidR="00000000" w:rsidRPr="00000000">
              <w:rPr>
                <w:rtl w:val="0"/>
              </w:rPr>
            </w:r>
          </w:p>
        </w:tc>
        <w:tc>
          <w:tcPr>
            <w:shd w:fill="1e2761" w:val="clear"/>
            <w:tcMar>
              <w:top w:w="80.0" w:type="dxa"/>
              <w:left w:w="100.0" w:type="dxa"/>
              <w:bottom w:w="80.0" w:type="dxa"/>
              <w:right w:w="100.0" w:type="dxa"/>
            </w:tcMar>
            <w:vAlign w:val="center"/>
          </w:tcPr>
          <w:p w:rsidR="00000000" w:rsidDel="00000000" w:rsidP="00000000" w:rsidRDefault="00000000" w:rsidRPr="00000000" w14:paraId="00000069">
            <w:pPr>
              <w:jc w:val="center"/>
              <w:rPr/>
            </w:pPr>
            <w:r w:rsidDel="00000000" w:rsidR="00000000" w:rsidRPr="00000000">
              <w:rPr>
                <w:rFonts w:ascii="Calibri" w:cs="Calibri" w:eastAsia="Calibri" w:hAnsi="Calibri"/>
                <w:b w:val="1"/>
                <w:bCs w:val="1"/>
                <w:color w:val="ffffff"/>
                <w:sz w:val="20"/>
                <w:szCs w:val="20"/>
                <w:rtl w:val="0"/>
              </w:rPr>
              <w:t xml:space="preserve">Rol en el proyecto</w:t>
            </w:r>
            <w:r w:rsidDel="00000000" w:rsidR="00000000" w:rsidRPr="00000000">
              <w:rPr>
                <w:rtl w:val="0"/>
              </w:rPr>
            </w:r>
          </w:p>
        </w:tc>
        <w:tc>
          <w:tcPr>
            <w:shd w:fill="1e2761" w:val="clear"/>
            <w:tcMar>
              <w:top w:w="80.0" w:type="dxa"/>
              <w:left w:w="100.0" w:type="dxa"/>
              <w:bottom w:w="80.0" w:type="dxa"/>
              <w:right w:w="100.0" w:type="dxa"/>
            </w:tcMar>
            <w:vAlign w:val="center"/>
          </w:tcPr>
          <w:p w:rsidR="00000000" w:rsidDel="00000000" w:rsidP="00000000" w:rsidRDefault="00000000" w:rsidRPr="00000000" w14:paraId="0000006A">
            <w:pPr>
              <w:jc w:val="center"/>
              <w:rPr/>
            </w:pPr>
            <w:r w:rsidDel="00000000" w:rsidR="00000000" w:rsidRPr="00000000">
              <w:rPr>
                <w:rFonts w:ascii="Calibri" w:cs="Calibri" w:eastAsia="Calibri" w:hAnsi="Calibri"/>
                <w:b w:val="1"/>
                <w:bCs w:val="1"/>
                <w:color w:val="ffffff"/>
                <w:sz w:val="20"/>
                <w:szCs w:val="20"/>
                <w:rtl w:val="0"/>
              </w:rPr>
              <w:t xml:space="preserve">Responsabilidad de pruebas</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6B">
            <w:pPr>
              <w:jc w:val="left"/>
              <w:rPr/>
            </w:pPr>
            <w:r w:rsidDel="00000000" w:rsidR="00000000" w:rsidRPr="00000000">
              <w:rPr>
                <w:rFonts w:ascii="Calibri" w:cs="Calibri" w:eastAsia="Calibri" w:hAnsi="Calibri"/>
                <w:b w:val="0"/>
                <w:bCs w:val="0"/>
                <w:color w:val="2b2b2b"/>
                <w:sz w:val="20"/>
                <w:szCs w:val="20"/>
                <w:rtl w:val="0"/>
              </w:rPr>
              <w:t xml:space="preserve">Iván Henríquez</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6C">
            <w:pPr>
              <w:jc w:val="left"/>
              <w:rPr/>
            </w:pPr>
            <w:r w:rsidDel="00000000" w:rsidR="00000000" w:rsidRPr="00000000">
              <w:rPr>
                <w:rFonts w:ascii="Calibri" w:cs="Calibri" w:eastAsia="Calibri" w:hAnsi="Calibri"/>
                <w:b w:val="0"/>
                <w:bCs w:val="0"/>
                <w:color w:val="2b2b2b"/>
                <w:sz w:val="20"/>
                <w:szCs w:val="20"/>
                <w:rtl w:val="0"/>
              </w:rPr>
              <w:t xml:space="preserve">Tech Lead · LLM / Semántica</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6D">
            <w:pPr>
              <w:jc w:val="left"/>
              <w:rPr/>
            </w:pPr>
            <w:r w:rsidDel="00000000" w:rsidR="00000000" w:rsidRPr="00000000">
              <w:rPr>
                <w:rFonts w:ascii="Calibri" w:cs="Calibri" w:eastAsia="Calibri" w:hAnsi="Calibri"/>
                <w:b w:val="0"/>
                <w:bCs w:val="0"/>
                <w:color w:val="2b2b2b"/>
                <w:sz w:val="20"/>
                <w:szCs w:val="20"/>
                <w:rtl w:val="0"/>
              </w:rPr>
              <w:t xml:space="preserve">Revisión técnica transversal; pruebas de los pasos LLM (triage.classify y catálogo de plantillas).</w:t>
            </w:r>
            <w:r w:rsidDel="00000000" w:rsidR="00000000" w:rsidRPr="00000000">
              <w:rPr>
                <w:rtl w:val="0"/>
              </w:rPr>
            </w:r>
          </w:p>
        </w:tc>
      </w:tr>
      <w:tr>
        <w:trPr>
          <w:cantSplit w:val="0"/>
          <w:tblHeader w:val="0"/>
        </w:trPr>
        <w:tc>
          <w:tcPr>
            <w:shd w:fill="edeff7" w:val="clear"/>
            <w:tcMar>
              <w:top w:w="80.0" w:type="dxa"/>
              <w:left w:w="100.0" w:type="dxa"/>
              <w:bottom w:w="80.0" w:type="dxa"/>
              <w:right w:w="100.0" w:type="dxa"/>
            </w:tcMar>
            <w:vAlign w:val="center"/>
          </w:tcPr>
          <w:p w:rsidR="00000000" w:rsidDel="00000000" w:rsidP="00000000" w:rsidRDefault="00000000" w:rsidRPr="00000000" w14:paraId="0000006E">
            <w:pPr>
              <w:jc w:val="left"/>
              <w:rPr/>
            </w:pPr>
            <w:r w:rsidDel="00000000" w:rsidR="00000000" w:rsidRPr="00000000">
              <w:rPr>
                <w:rFonts w:ascii="Calibri" w:cs="Calibri" w:eastAsia="Calibri" w:hAnsi="Calibri"/>
                <w:b w:val="0"/>
                <w:bCs w:val="0"/>
                <w:color w:val="2b2b2b"/>
                <w:sz w:val="20"/>
                <w:szCs w:val="20"/>
                <w:rtl w:val="0"/>
              </w:rPr>
              <w:t xml:space="preserve">Mario García</w:t>
            </w:r>
            <w:r w:rsidDel="00000000" w:rsidR="00000000" w:rsidRPr="00000000">
              <w:rPr>
                <w:rtl w:val="0"/>
              </w:rPr>
            </w:r>
          </w:p>
        </w:tc>
        <w:tc>
          <w:tcPr>
            <w:shd w:fill="edeff7" w:val="clear"/>
            <w:tcMar>
              <w:top w:w="80.0" w:type="dxa"/>
              <w:left w:w="100.0" w:type="dxa"/>
              <w:bottom w:w="80.0" w:type="dxa"/>
              <w:right w:w="100.0" w:type="dxa"/>
            </w:tcMar>
            <w:vAlign w:val="center"/>
          </w:tcPr>
          <w:p w:rsidR="00000000" w:rsidDel="00000000" w:rsidP="00000000" w:rsidRDefault="00000000" w:rsidRPr="00000000" w14:paraId="0000006F">
            <w:pPr>
              <w:jc w:val="left"/>
              <w:rPr/>
            </w:pPr>
            <w:r w:rsidDel="00000000" w:rsidR="00000000" w:rsidRPr="00000000">
              <w:rPr>
                <w:rFonts w:ascii="Calibri" w:cs="Calibri" w:eastAsia="Calibri" w:hAnsi="Calibri"/>
                <w:b w:val="0"/>
                <w:bCs w:val="0"/>
                <w:color w:val="2b2b2b"/>
                <w:sz w:val="20"/>
                <w:szCs w:val="20"/>
                <w:rtl w:val="0"/>
              </w:rPr>
              <w:t xml:space="preserve">Ingeniero de Plataforma · Orquestador y Consultas</w:t>
            </w:r>
            <w:r w:rsidDel="00000000" w:rsidR="00000000" w:rsidRPr="00000000">
              <w:rPr>
                <w:rtl w:val="0"/>
              </w:rPr>
            </w:r>
          </w:p>
        </w:tc>
        <w:tc>
          <w:tcPr>
            <w:shd w:fill="edeff7" w:val="clear"/>
            <w:tcMar>
              <w:top w:w="80.0" w:type="dxa"/>
              <w:left w:w="100.0" w:type="dxa"/>
              <w:bottom w:w="80.0" w:type="dxa"/>
              <w:right w:w="100.0" w:type="dxa"/>
            </w:tcMar>
            <w:vAlign w:val="center"/>
          </w:tcPr>
          <w:p w:rsidR="00000000" w:rsidDel="00000000" w:rsidP="00000000" w:rsidRDefault="00000000" w:rsidRPr="00000000" w14:paraId="00000070">
            <w:pPr>
              <w:jc w:val="left"/>
              <w:rPr/>
            </w:pPr>
            <w:r w:rsidDel="00000000" w:rsidR="00000000" w:rsidRPr="00000000">
              <w:rPr>
                <w:rFonts w:ascii="Calibri" w:cs="Calibri" w:eastAsia="Calibri" w:hAnsi="Calibri"/>
                <w:b w:val="0"/>
                <w:bCs w:val="0"/>
                <w:color w:val="2b2b2b"/>
                <w:sz w:val="20"/>
                <w:szCs w:val="20"/>
                <w:rtl w:val="0"/>
              </w:rPr>
              <w:t xml:space="preserve">Pruebas del orquestador FSM (16 etapas) y de las consultas de negocio.</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71">
            <w:pPr>
              <w:jc w:val="left"/>
              <w:rPr/>
            </w:pPr>
            <w:r w:rsidDel="00000000" w:rsidR="00000000" w:rsidRPr="00000000">
              <w:rPr>
                <w:rFonts w:ascii="Calibri" w:cs="Calibri" w:eastAsia="Calibri" w:hAnsi="Calibri"/>
                <w:b w:val="0"/>
                <w:bCs w:val="0"/>
                <w:color w:val="2b2b2b"/>
                <w:sz w:val="20"/>
                <w:szCs w:val="20"/>
                <w:rtl w:val="0"/>
              </w:rPr>
              <w:t xml:space="preserve">Anderson González</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72">
            <w:pPr>
              <w:jc w:val="left"/>
              <w:rPr/>
            </w:pPr>
            <w:r w:rsidDel="00000000" w:rsidR="00000000" w:rsidRPr="00000000">
              <w:rPr>
                <w:rFonts w:ascii="Calibri" w:cs="Calibri" w:eastAsia="Calibri" w:hAnsi="Calibri"/>
                <w:b w:val="0"/>
                <w:bCs w:val="0"/>
                <w:color w:val="2b2b2b"/>
                <w:sz w:val="20"/>
                <w:szCs w:val="20"/>
                <w:rtl w:val="0"/>
              </w:rPr>
              <w:t xml:space="preserve">Arquitecto de BD · Seguridad y RLS</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73">
            <w:pPr>
              <w:jc w:val="left"/>
              <w:rPr/>
            </w:pPr>
            <w:r w:rsidDel="00000000" w:rsidR="00000000" w:rsidRPr="00000000">
              <w:rPr>
                <w:rFonts w:ascii="Calibri" w:cs="Calibri" w:eastAsia="Calibri" w:hAnsi="Calibri"/>
                <w:b w:val="0"/>
                <w:bCs w:val="0"/>
                <w:color w:val="2b2b2b"/>
                <w:sz w:val="20"/>
                <w:szCs w:val="20"/>
                <w:rtl w:val="0"/>
              </w:rPr>
              <w:t xml:space="preserve">Diseño y verificación de las políticas RLS; pruebas de seguridad y aislamiento.</w:t>
            </w:r>
            <w:r w:rsidDel="00000000" w:rsidR="00000000" w:rsidRPr="00000000">
              <w:rPr>
                <w:rtl w:val="0"/>
              </w:rPr>
            </w:r>
          </w:p>
        </w:tc>
      </w:tr>
      <w:tr>
        <w:trPr>
          <w:cantSplit w:val="0"/>
          <w:tblHeader w:val="0"/>
        </w:trPr>
        <w:tc>
          <w:tcPr>
            <w:shd w:fill="edeff7" w:val="clear"/>
            <w:tcMar>
              <w:top w:w="80.0" w:type="dxa"/>
              <w:left w:w="100.0" w:type="dxa"/>
              <w:bottom w:w="80.0" w:type="dxa"/>
              <w:right w:w="100.0" w:type="dxa"/>
            </w:tcMar>
            <w:vAlign w:val="center"/>
          </w:tcPr>
          <w:p w:rsidR="00000000" w:rsidDel="00000000" w:rsidP="00000000" w:rsidRDefault="00000000" w:rsidRPr="00000000" w14:paraId="00000074">
            <w:pPr>
              <w:jc w:val="left"/>
              <w:rPr/>
            </w:pPr>
            <w:r w:rsidDel="00000000" w:rsidR="00000000" w:rsidRPr="00000000">
              <w:rPr>
                <w:rFonts w:ascii="Calibri" w:cs="Calibri" w:eastAsia="Calibri" w:hAnsi="Calibri"/>
                <w:b w:val="0"/>
                <w:bCs w:val="0"/>
                <w:color w:val="2b2b2b"/>
                <w:sz w:val="20"/>
                <w:szCs w:val="20"/>
                <w:rtl w:val="0"/>
              </w:rPr>
              <w:t xml:space="preserve">Francisco Salinas</w:t>
            </w:r>
            <w:r w:rsidDel="00000000" w:rsidR="00000000" w:rsidRPr="00000000">
              <w:rPr>
                <w:rtl w:val="0"/>
              </w:rPr>
            </w:r>
          </w:p>
        </w:tc>
        <w:tc>
          <w:tcPr>
            <w:shd w:fill="edeff7" w:val="clear"/>
            <w:tcMar>
              <w:top w:w="80.0" w:type="dxa"/>
              <w:left w:w="100.0" w:type="dxa"/>
              <w:bottom w:w="80.0" w:type="dxa"/>
              <w:right w:w="100.0" w:type="dxa"/>
            </w:tcMar>
            <w:vAlign w:val="center"/>
          </w:tcPr>
          <w:p w:rsidR="00000000" w:rsidDel="00000000" w:rsidP="00000000" w:rsidRDefault="00000000" w:rsidRPr="00000000" w14:paraId="00000075">
            <w:pPr>
              <w:jc w:val="left"/>
              <w:rPr/>
            </w:pPr>
            <w:r w:rsidDel="00000000" w:rsidR="00000000" w:rsidRPr="00000000">
              <w:rPr>
                <w:rFonts w:ascii="Calibri" w:cs="Calibri" w:eastAsia="Calibri" w:hAnsi="Calibri"/>
                <w:b w:val="0"/>
                <w:bCs w:val="0"/>
                <w:color w:val="2b2b2b"/>
                <w:sz w:val="20"/>
                <w:szCs w:val="20"/>
                <w:rtl w:val="0"/>
              </w:rPr>
              <w:t xml:space="preserve">Ingeniero de Datos · Parsers e Ingesta AST</w:t>
            </w:r>
            <w:r w:rsidDel="00000000" w:rsidR="00000000" w:rsidRPr="00000000">
              <w:rPr>
                <w:rtl w:val="0"/>
              </w:rPr>
            </w:r>
          </w:p>
        </w:tc>
        <w:tc>
          <w:tcPr>
            <w:shd w:fill="edeff7" w:val="clear"/>
            <w:tcMar>
              <w:top w:w="80.0" w:type="dxa"/>
              <w:left w:w="100.0" w:type="dxa"/>
              <w:bottom w:w="80.0" w:type="dxa"/>
              <w:right w:w="100.0" w:type="dxa"/>
            </w:tcMar>
            <w:vAlign w:val="center"/>
          </w:tcPr>
          <w:p w:rsidR="00000000" w:rsidDel="00000000" w:rsidP="00000000" w:rsidRDefault="00000000" w:rsidRPr="00000000" w14:paraId="00000076">
            <w:pPr>
              <w:jc w:val="left"/>
              <w:rPr/>
            </w:pPr>
            <w:r w:rsidDel="00000000" w:rsidR="00000000" w:rsidRPr="00000000">
              <w:rPr>
                <w:rFonts w:ascii="Calibri" w:cs="Calibri" w:eastAsia="Calibri" w:hAnsi="Calibri"/>
                <w:b w:val="0"/>
                <w:bCs w:val="0"/>
                <w:color w:val="2b2b2b"/>
                <w:sz w:val="20"/>
                <w:szCs w:val="20"/>
                <w:rtl w:val="0"/>
              </w:rPr>
              <w:t xml:space="preserve">Pruebas de la capa vectorial, normalización de ingesta y parsers (este plan).</w:t>
            </w:r>
            <w:r w:rsidDel="00000000" w:rsidR="00000000" w:rsidRPr="00000000">
              <w:rPr>
                <w:rtl w:val="0"/>
              </w:rPr>
            </w:r>
          </w:p>
        </w:tc>
      </w:tr>
    </w:tbl>
    <w:p w:rsidR="00000000" w:rsidDel="00000000" w:rsidP="00000000" w:rsidRDefault="00000000" w:rsidRPr="00000000" w14:paraId="00000077">
      <w:pPr>
        <w:pStyle w:val="Heading1"/>
        <w:pBdr>
          <w:bottom w:color="1e2761" w:space="4" w:sz="12" w:val="single"/>
        </w:pBdr>
        <w:spacing w:after="160" w:before="360" w:lineRule="auto"/>
        <w:rPr/>
      </w:pPr>
      <w:r w:rsidDel="00000000" w:rsidR="00000000" w:rsidRPr="00000000">
        <w:rPr>
          <w:rFonts w:ascii="Cambria" w:cs="Cambria" w:eastAsia="Cambria" w:hAnsi="Cambria"/>
          <w:b w:val="1"/>
          <w:bCs w:val="1"/>
          <w:color w:val="1e2761"/>
          <w:sz w:val="30"/>
          <w:szCs w:val="30"/>
          <w:rtl w:val="0"/>
        </w:rPr>
        <w:t xml:space="preserve">9. Riesgos y supuestos</w:t>
      </w:r>
      <w:r w:rsidDel="00000000" w:rsidR="00000000" w:rsidRPr="00000000">
        <w:rPr>
          <w:rtl w:val="0"/>
        </w:rPr>
      </w:r>
    </w:p>
    <w:p w:rsidR="00000000" w:rsidDel="00000000" w:rsidP="00000000" w:rsidRDefault="00000000" w:rsidRPr="00000000" w14:paraId="00000078">
      <w:pPr>
        <w:pStyle w:val="Heading2"/>
        <w:spacing w:after="120" w:before="260" w:lineRule="auto"/>
        <w:rPr/>
      </w:pPr>
      <w:r w:rsidDel="00000000" w:rsidR="00000000" w:rsidRPr="00000000">
        <w:rPr>
          <w:rFonts w:ascii="Cambria" w:cs="Cambria" w:eastAsia="Cambria" w:hAnsi="Cambria"/>
          <w:b w:val="1"/>
          <w:bCs w:val="1"/>
          <w:color w:val="121a47"/>
          <w:sz w:val="24"/>
          <w:szCs w:val="24"/>
          <w:rtl w:val="0"/>
        </w:rPr>
        <w:t xml:space="preserve">9.1 Riesgos identificados</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Conectar las pruebas con un usuario con privilegio de superusuario oculta fallas reales de RLS (mitigado con el rol kallicode_dev).</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Reutilizar motores de conexión asíncronos entre pruebas que corren en loops de evento distintos puede producir fallas intermitentes difíciles de diagnosticar (mitigado con una fixture autouse que libera los motores tras cada prueba).</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Módulos de otros integrantes todavía en desarrollo (p. ej. config.py del área CodeMapping) pueden mostrarse como fallas de regresión que no corresponden al cambio evaluado; se documentan y comunican al responsable en vez de modificarse unilateralmente.</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Dependencias faltantes en el entorno (p. ej. asyncpg, fastapi, hypothesis) pueden enmascarar pruebas como “omitidas” en lugar de “fallidas”, dando una falsa sensación de éxito.</w:t>
      </w:r>
    </w:p>
    <w:p w:rsidR="00000000" w:rsidDel="00000000" w:rsidP="00000000" w:rsidRDefault="00000000" w:rsidRPr="00000000" w14:paraId="0000007D">
      <w:pPr>
        <w:pStyle w:val="Heading2"/>
        <w:spacing w:after="120" w:before="260" w:lineRule="auto"/>
        <w:rPr/>
      </w:pPr>
      <w:r w:rsidDel="00000000" w:rsidR="00000000" w:rsidRPr="00000000">
        <w:rPr>
          <w:rFonts w:ascii="Cambria" w:cs="Cambria" w:eastAsia="Cambria" w:hAnsi="Cambria"/>
          <w:b w:val="1"/>
          <w:bCs w:val="1"/>
          <w:color w:val="121a47"/>
          <w:sz w:val="24"/>
          <w:szCs w:val="24"/>
          <w:rtl w:val="0"/>
        </w:rPr>
        <w:t xml:space="preserve">9.2 Supuestos</w:t>
      </w:r>
      <w:r w:rsidDel="00000000" w:rsidR="00000000" w:rsidRPr="00000000">
        <w:rPr>
          <w:rtl w:val="0"/>
        </w:rPr>
      </w:r>
    </w:p>
    <w:p w:rsidR="00000000" w:rsidDel="00000000" w:rsidP="00000000" w:rsidRDefault="00000000" w:rsidRPr="00000000" w14:paraId="0000007E">
      <w:pPr>
        <w:numPr>
          <w:ilvl w:val="0"/>
          <w:numId w:val="1"/>
        </w:numPr>
        <w:spacing w:after="80" w:lineRule="auto"/>
        <w:ind w:left="460" w:hanging="260"/>
      </w:pPr>
      <w:r w:rsidDel="00000000" w:rsidR="00000000" w:rsidRPr="00000000">
        <w:rPr>
          <w:rtl w:val="0"/>
        </w:rPr>
        <w:t xml:space="preserve">El ambiente local de pruebas corre sobre Docker Desktop y se utilizan datos sintéticos que se descartan al finalizar cada ejecución.</w:t>
      </w:r>
    </w:p>
    <w:p w:rsidR="00000000" w:rsidDel="00000000" w:rsidP="00000000" w:rsidRDefault="00000000" w:rsidRPr="00000000" w14:paraId="0000007F">
      <w:pPr>
        <w:numPr>
          <w:ilvl w:val="0"/>
          <w:numId w:val="1"/>
        </w:numPr>
        <w:spacing w:after="80" w:lineRule="auto"/>
        <w:ind w:left="460" w:hanging="260"/>
      </w:pPr>
      <w:r w:rsidDel="00000000" w:rsidR="00000000" w:rsidRPr="00000000">
        <w:rPr>
          <w:rtl w:val="0"/>
        </w:rPr>
        <w:t xml:space="preserve">El proyecto cuenta con un entorno de Integración Continua (CI) compartido. El pipeline de GitHub Actions (ci-codemapping.yml) implementa compuertas obligatorias de calidad que ejecutan Ruff (linters), Mypy en modo estricto (tipado estático) y Pytest contra una base de datos PostgreSQL con pgvector desplegada en contenedor.</w:t>
      </w:r>
      <w:r w:rsidDel="00000000" w:rsidR="00000000" w:rsidRPr="00000000">
        <w:rPr>
          <w:rtl w:val="0"/>
        </w:rPr>
      </w:r>
    </w:p>
    <w:p w:rsidR="00000000" w:rsidDel="00000000" w:rsidP="00000000" w:rsidRDefault="00000000" w:rsidRPr="00000000" w14:paraId="00000080">
      <w:pPr>
        <w:pStyle w:val="Heading1"/>
        <w:pBdr>
          <w:bottom w:color="1e2761" w:space="4" w:sz="12" w:val="single"/>
        </w:pBdr>
        <w:spacing w:after="160" w:before="360" w:lineRule="auto"/>
        <w:rPr/>
      </w:pPr>
      <w:r w:rsidDel="00000000" w:rsidR="00000000" w:rsidRPr="00000000">
        <w:rPr>
          <w:rFonts w:ascii="Cambria" w:cs="Cambria" w:eastAsia="Cambria" w:hAnsi="Cambria"/>
          <w:b w:val="1"/>
          <w:bCs w:val="1"/>
          <w:color w:val="1e2761"/>
          <w:sz w:val="30"/>
          <w:szCs w:val="30"/>
          <w:rtl w:val="0"/>
        </w:rPr>
        <w:t xml:space="preserve">10. Entregables de esta fase</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Plan de Pruebas (este documento).</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Casos de Prueba — detalle de cada caso con precondición, pasos y resultado esperado.</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2b2b2b"/>
          <w:sz w:val="22"/>
          <w:szCs w:val="22"/>
          <w:u w:val="none"/>
          <w:shd w:fill="auto" w:val="clear"/>
          <w:vertAlign w:val="baseline"/>
          <w:rtl w:val="0"/>
        </w:rPr>
        <w:t xml:space="preserve">Resultados de las Pruebas — evidencia de ejecución y trazabilidad a los tickets Jira.</w:t>
      </w:r>
    </w:p>
    <w:sectPr>
      <w:headerReference r:id="rId7" w:type="default"/>
      <w:footerReference r:id="rId8" w:type="default"/>
      <w:type w:val="nextPage"/>
      <w:pgSz w:h="15840" w:w="12240" w:orient="portrait"/>
      <w:pgMar w:bottom="1200" w:top="1300" w:left="1100" w:right="110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jc w:val="center"/>
      <w:rPr/>
    </w:pPr>
    <w:r w:rsidDel="00000000" w:rsidR="00000000" w:rsidRPr="00000000">
      <w:rPr>
        <w:rFonts w:ascii="Calibri" w:cs="Calibri" w:eastAsia="Calibri" w:hAnsi="Calibri"/>
        <w:color w:val="7a7e96"/>
        <w:sz w:val="16"/>
        <w:szCs w:val="16"/>
        <w:rtl w:val="0"/>
      </w:rPr>
      <w:t xml:space="preserve">KalliCode Platform — Documento interno de equipo · Página </w:t>
    </w:r>
    <w:r w:rsidDel="00000000" w:rsidR="00000000" w:rsidRPr="00000000">
      <w:rPr>
        <w:rFonts w:ascii="Calibri" w:cs="Calibri" w:eastAsia="Calibri" w:hAnsi="Calibri"/>
        <w:color w:val="7a7e96"/>
        <w:sz w:val="16"/>
        <w:szCs w:val="16"/>
      </w:rPr>
      <w:fldChar w:fldCharType="begin"/>
      <w:instrText xml:space="preserve">PAGE</w:instrText>
      <w:fldChar w:fldCharType="separate"/>
      <w:fldChar w:fldCharType="end"/>
    </w:r>
    <w:r w:rsidDel="00000000" w:rsidR="00000000" w:rsidRPr="00000000">
      <w:rPr>
        <w:rFonts w:ascii="Calibri" w:cs="Calibri" w:eastAsia="Calibri" w:hAnsi="Calibri"/>
        <w:color w:val="7a7e96"/>
        <w:sz w:val="16"/>
        <w:szCs w:val="16"/>
        <w:rtl w:val="0"/>
      </w:rPr>
      <w:t xml:space="preserve"> de </w:t>
    </w:r>
    <w:r w:rsidDel="00000000" w:rsidR="00000000" w:rsidRPr="00000000">
      <w:rPr>
        <w:rFonts w:ascii="Calibri" w:cs="Calibri" w:eastAsia="Calibri" w:hAnsi="Calibri"/>
        <w:color w:val="7a7e96"/>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pBdr>
        <w:bottom w:color="b08d57" w:space="4" w:sz="6" w:val="single"/>
      </w:pBdr>
      <w:jc w:val="right"/>
      <w:rPr/>
    </w:pPr>
    <w:r w:rsidDel="00000000" w:rsidR="00000000" w:rsidRPr="00000000">
      <w:rPr>
        <w:rFonts w:ascii="Calibri" w:cs="Calibri" w:eastAsia="Calibri" w:hAnsi="Calibri"/>
        <w:b w:val="1"/>
        <w:bCs w:val="1"/>
        <w:color w:val="1e2761"/>
        <w:sz w:val="16"/>
        <w:szCs w:val="16"/>
        <w:rtl w:val="0"/>
      </w:rPr>
      <w:t xml:space="preserve">KalliCode Platform · Plan de Pruebas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60"/>
      </w:pPr>
      <w:rPr>
        <w:rFonts w:ascii="Calibri" w:cs="Calibri" w:eastAsia="Calibri" w:hAnsi="Calibri"/>
        <w:color w:val="1e2761"/>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b2b2b"/>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b2b2b"/>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mXzQ9TJEzB6B52A9W2EkWM2nmw==">CgMxLjA4AHIhMXhncWwtVEFnUW1kWWlVcFZOaHQyTVZEa21XWEhGM2Rf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2026-10-10T01:08:20.618Z</dcterms:created>
  <dc:creator>Un-named</dc:creator>
</cp:coreProperties>
</file>

<file path=docProps/custom.xml><?xml version="1.0" encoding="utf-8"?>
<Properties xmlns="http://schemas.openxmlformats.org/officeDocument/2006/custom-properties" xmlns:vt="http://schemas.openxmlformats.org/officeDocument/2006/docPropsVTypes"/>
</file>