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Requerimientos IEEE 830 / Historias de Usuario</w:t>
      </w:r>
    </w:p>
    <w:p>
      <w:pPr>
        <w:spacing w:after="900"/>
        <w:jc w:val="center"/>
      </w:pPr>
      <w:r>
        <w:rPr>
          <w:rFonts w:ascii="Calibri" w:cs="Calibri" w:eastAsia="Calibri" w:hAnsi="Calibri"/>
          <w:i/>
          <w:iCs/>
          <w:color w:val="2B2B2B"/>
          <w:sz w:val="24"/>
          <w:szCs w:val="24"/>
        </w:rPr>
        <w:t xml:space="preserve">KalliCode Platform — versión actualizada a Fase 2</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Fusión CodeMapping y Fábrica de Producción de Software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Equipo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 Anderson González, Mario García, Francisco Salinas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Asignatura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Capstone (PTY4614) — Duoc UC</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Requerimientos (IEEE 830) e Historias de Usuario</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2.0 — actualiza la v1.0 de Fase 1 (10-09-2026)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 de esta 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Actualizado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0. Historial de versiones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1300"/>
        <w:gridCol w:w="1600"/>
        <w:gridCol w:w="5500"/>
      </w:tblGrid>
      <w:tr>
        <w:trPr>
          <w:tblHeader/>
        </w:trPr>
        <w:tc>
          <w:tcPr>
            <w:tcW w:type="dxa" w:w="1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Versión</w:t>
            </w:r>
          </w:p>
        </w:tc>
        <w:tc>
          <w:tcPr>
            <w:tcW w:type="dxa" w:w="1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Fecha</w:t>
            </w:r>
          </w:p>
        </w:tc>
        <w:tc>
          <w:tcPr>
            <w:tcW w:type="dxa" w:w="55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Cambios</w:t>
            </w:r>
          </w:p>
        </w:tc>
      </w:tr>
      <w:t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1.0</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10-09-2026</w:t>
            </w:r>
          </w:p>
        </w:tc>
        <w:tc>
          <w:tcPr>
            <w:tcW w:type="dxa" w:w="5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Versión original de Fase 1: RF-01 a RF-16, RNF-01 a RNF-07, HU-01 a HU-10.</w:t>
            </w:r>
          </w:p>
        </w:tc>
      </w:tr>
      <w:t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2.0</w:t>
            </w:r>
          </w:p>
        </w:tc>
        <w:tc>
          <w:tcPr>
            <w:tcW w:type="dxa" w:w="1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c>
          <w:tcPr>
            <w:tcW w:type="dxa" w:w="55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Actualiza estados de HU al cierre del Sprint 7; agrega RF-17 (idempotencia de la capa vectorial) y HU-11 (suite de pruebas KC-ONB-02-5); agrega sección 5 de trazabilidad requerimiento→prueba y sección 6 de brechas abiertas.</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1. Introducción</w:t>
      </w:r>
    </w:p>
    <w:p>
      <w:pPr>
        <w:pStyle w:val="Heading2"/>
        <w:spacing w:after="120" w:before="260"/>
      </w:pPr>
      <w:r>
        <w:rPr>
          <w:rFonts w:ascii="Cambria" w:cs="Cambria" w:eastAsia="Cambria" w:hAnsi="Cambria"/>
          <w:b/>
          <w:bCs/>
          <w:color w:val="121A47"/>
          <w:sz w:val="24"/>
          <w:szCs w:val="24"/>
        </w:rPr>
        <w:t xml:space="preserve">1.1 Propósito</w:t>
      </w:r>
    </w:p>
    <w:p>
      <w:pPr>
        <w:spacing w:after="120" w:line="276"/>
      </w:pPr>
      <w:r>
        <w:rPr>
          <w:rFonts w:ascii="Calibri" w:cs="Calibri" w:eastAsia="Calibri" w:hAnsi="Calibri"/>
          <w:color w:val="2B2B2B"/>
          <w:sz w:val="22"/>
          <w:szCs w:val="22"/>
        </w:rPr>
        <w:t xml:space="preserve">Este documento especifica los requerimientos funcionales y no funcionales del proyecto KalliCode Platform, siguiendo la estructura de referencia del estándar IEEE 830, y complementa dichos requerimientos con un conjunto de historias de usuario que orientan el desarrollo incremental durante el Capstone.</w:t>
      </w:r>
    </w:p>
    <w:p>
      <w:pPr>
        <w:pStyle w:val="Heading2"/>
        <w:spacing w:after="120" w:before="260"/>
      </w:pPr>
      <w:r>
        <w:rPr>
          <w:rFonts w:ascii="Cambria" w:cs="Cambria" w:eastAsia="Cambria" w:hAnsi="Cambria"/>
          <w:b/>
          <w:bCs/>
          <w:color w:val="121A47"/>
          <w:sz w:val="24"/>
          <w:szCs w:val="24"/>
        </w:rPr>
        <w:t xml:space="preserve">1.2 Alcance del sistema</w:t>
      </w:r>
    </w:p>
    <w:p>
      <w:pPr>
        <w:spacing w:after="120" w:line="276"/>
      </w:pPr>
      <w:r>
        <w:rPr>
          <w:rFonts w:ascii="Calibri" w:cs="Calibri" w:eastAsia="Calibri" w:hAnsi="Calibri"/>
          <w:color w:val="2B2B2B"/>
          <w:sz w:val="22"/>
          <w:szCs w:val="22"/>
        </w:rPr>
        <w:t xml:space="preserve">El sistema comprende dos dominios fusionados por el equipo: E1 CodeMapping, el motor que ingiere repositorios de código y construye un grafo de conocimiento relacional-vectorial; y E2 Fábrica de Producción, el orquestador que mueve tickets a través de un pipeline de producción de software asistido por IA. Quedan fuera del alcance el Portal Cliente, la Consola de Administración y las etapas QA, Security y Deploy del pipeline completo, que corresponden a otros equipos del programa KalliCode.</w:t>
      </w:r>
    </w:p>
    <w:p>
      <w:pPr>
        <w:pStyle w:val="Heading2"/>
        <w:spacing w:after="120" w:before="260"/>
      </w:pPr>
      <w:r>
        <w:rPr>
          <w:rFonts w:ascii="Cambria" w:cs="Cambria" w:eastAsia="Cambria" w:hAnsi="Cambria"/>
          <w:b/>
          <w:bCs/>
          <w:color w:val="121A47"/>
          <w:sz w:val="24"/>
          <w:szCs w:val="24"/>
        </w:rPr>
        <w:t xml:space="preserve">1.3 Definiciones, acrónimos y abreviaturas</w:t>
      </w:r>
    </w:p>
    <w:p>
      <w:pPr>
        <w:pStyle w:val="ListParagraph"/>
        <w:numPr>
          <w:ilvl w:val="0"/>
          <w:numId w:val="2"/>
        </w:numPr>
        <w:spacing w:after="80"/>
      </w:pPr>
      <w:r>
        <w:rPr>
          <w:rFonts w:ascii="Calibri" w:cs="Calibri" w:eastAsia="Calibri" w:hAnsi="Calibri"/>
          <w:b w:val="false"/>
          <w:bCs w:val="false"/>
          <w:color w:val="2B2B2B"/>
          <w:sz w:val="22"/>
          <w:szCs w:val="22"/>
        </w:rPr>
        <w:t xml:space="preserve">AST: Árbol de Sintaxis Abstracta (Abstract Syntax Tree).</w:t>
      </w:r>
    </w:p>
    <w:p>
      <w:pPr>
        <w:pStyle w:val="ListParagraph"/>
        <w:numPr>
          <w:ilvl w:val="0"/>
          <w:numId w:val="2"/>
        </w:numPr>
        <w:spacing w:after="80"/>
      </w:pPr>
      <w:r>
        <w:rPr>
          <w:rFonts w:ascii="Calibri" w:cs="Calibri" w:eastAsia="Calibri" w:hAnsi="Calibri"/>
          <w:b w:val="false"/>
          <w:bCs w:val="false"/>
          <w:color w:val="2B2B2B"/>
          <w:sz w:val="22"/>
          <w:szCs w:val="22"/>
        </w:rPr>
        <w:t xml:space="preserve">RF / RNF: Requerimiento Funcional / Requerimiento No Funcional.</w:t>
      </w:r>
    </w:p>
    <w:p>
      <w:pPr>
        <w:pStyle w:val="ListParagraph"/>
        <w:numPr>
          <w:ilvl w:val="0"/>
          <w:numId w:val="2"/>
        </w:numPr>
        <w:spacing w:after="80"/>
      </w:pPr>
      <w:r>
        <w:rPr>
          <w:rFonts w:ascii="Calibri" w:cs="Calibri" w:eastAsia="Calibri" w:hAnsi="Calibri"/>
          <w:b w:val="false"/>
          <w:bCs w:val="false"/>
          <w:color w:val="2B2B2B"/>
          <w:sz w:val="22"/>
          <w:szCs w:val="22"/>
        </w:rPr>
        <w:t xml:space="preserve">RLS: Row-Level Security, política de seguridad a nivel de fila en PostgreSQL.</w:t>
      </w:r>
    </w:p>
    <w:p>
      <w:pPr>
        <w:pStyle w:val="ListParagraph"/>
        <w:numPr>
          <w:ilvl w:val="0"/>
          <w:numId w:val="2"/>
        </w:numPr>
        <w:spacing w:after="80"/>
      </w:pPr>
      <w:r>
        <w:rPr>
          <w:rFonts w:ascii="Calibri" w:cs="Calibri" w:eastAsia="Calibri" w:hAnsi="Calibri"/>
          <w:b w:val="false"/>
          <w:bCs w:val="false"/>
          <w:color w:val="2B2B2B"/>
          <w:sz w:val="22"/>
          <w:szCs w:val="22"/>
        </w:rPr>
        <w:t xml:space="preserve">FSM: Máquina de Estados Finitos (Finite State Machine).</w:t>
      </w:r>
    </w:p>
    <w:p>
      <w:pPr>
        <w:pStyle w:val="ListParagraph"/>
        <w:numPr>
          <w:ilvl w:val="0"/>
          <w:numId w:val="2"/>
        </w:numPr>
        <w:spacing w:after="80"/>
      </w:pPr>
      <w:r>
        <w:rPr>
          <w:rFonts w:ascii="Calibri" w:cs="Calibri" w:eastAsia="Calibri" w:hAnsi="Calibri"/>
          <w:b w:val="false"/>
          <w:bCs w:val="false"/>
          <w:color w:val="2B2B2B"/>
          <w:sz w:val="22"/>
          <w:szCs w:val="22"/>
        </w:rPr>
        <w:t xml:space="preserve">Tenant: cliente de la plataforma, aislado lógicamente del resto.</w:t>
      </w:r>
    </w:p>
    <w:p>
      <w:pPr>
        <w:pStyle w:val="ListParagraph"/>
        <w:numPr>
          <w:ilvl w:val="0"/>
          <w:numId w:val="2"/>
        </w:numPr>
        <w:spacing w:after="80"/>
      </w:pPr>
      <w:r>
        <w:rPr>
          <w:rFonts w:ascii="Calibri" w:cs="Calibri" w:eastAsia="Calibri" w:hAnsi="Calibri"/>
          <w:b w:val="false"/>
          <w:bCs w:val="false"/>
          <w:color w:val="2B2B2B"/>
          <w:sz w:val="22"/>
          <w:szCs w:val="22"/>
        </w:rPr>
        <w:t xml:space="preserve">ADR: Architecture Decision Record, documento de decisión arquitectónica.</w:t>
      </w:r>
    </w:p>
    <w:p>
      <w:pPr>
        <w:pStyle w:val="ListParagraph"/>
        <w:numPr>
          <w:ilvl w:val="0"/>
          <w:numId w:val="2"/>
        </w:numPr>
        <w:spacing w:after="80"/>
      </w:pPr>
      <w:r>
        <w:rPr>
          <w:rFonts w:ascii="Calibri" w:cs="Calibri" w:eastAsia="Calibri" w:hAnsi="Calibri"/>
          <w:b w:val="false"/>
          <w:bCs w:val="false"/>
          <w:color w:val="2B2B2B"/>
          <w:sz w:val="22"/>
          <w:szCs w:val="22"/>
        </w:rPr>
        <w:t xml:space="preserve">texto_hash: huella (hash) del contenido fuente de un embedding, usada para decidir si un upsert vectorial debe reescribirse o puede omitirse.</w:t>
      </w:r>
    </w:p>
    <w:p>
      <w:pPr>
        <w:pStyle w:val="Heading2"/>
        <w:spacing w:after="120" w:before="260"/>
      </w:pPr>
      <w:r>
        <w:rPr>
          <w:rFonts w:ascii="Cambria" w:cs="Cambria" w:eastAsia="Cambria" w:hAnsi="Cambria"/>
          <w:b/>
          <w:bCs/>
          <w:color w:val="121A47"/>
          <w:sz w:val="24"/>
          <w:szCs w:val="24"/>
        </w:rPr>
        <w:t xml:space="preserve">1.4 Referencias</w:t>
      </w:r>
    </w:p>
    <w:p>
      <w:pPr>
        <w:pStyle w:val="ListParagraph"/>
        <w:numPr>
          <w:ilvl w:val="0"/>
          <w:numId w:val="2"/>
        </w:numPr>
        <w:spacing w:after="80"/>
      </w:pPr>
      <w:r>
        <w:rPr>
          <w:rFonts w:ascii="Calibri" w:cs="Calibri" w:eastAsia="Calibri" w:hAnsi="Calibri"/>
          <w:b w:val="false"/>
          <w:bCs w:val="false"/>
          <w:color w:val="2B2B2B"/>
          <w:sz w:val="22"/>
          <w:szCs w:val="22"/>
        </w:rPr>
        <w:t xml:space="preserve">Acta de Constitución del Proyecto APT122-KC.</w:t>
      </w:r>
    </w:p>
    <w:p>
      <w:pPr>
        <w:pStyle w:val="ListParagraph"/>
        <w:numPr>
          <w:ilvl w:val="0"/>
          <w:numId w:val="2"/>
        </w:numPr>
        <w:spacing w:after="80"/>
      </w:pPr>
      <w:r>
        <w:rPr>
          <w:rFonts w:ascii="Calibri" w:cs="Calibri" w:eastAsia="Calibri" w:hAnsi="Calibri"/>
          <w:b w:val="false"/>
          <w:bCs w:val="false"/>
          <w:color w:val="2B2B2B"/>
          <w:sz w:val="22"/>
          <w:szCs w:val="22"/>
        </w:rPr>
        <w:t xml:space="preserve">Informe Formativo Fase 1 (1.4_APT122_FormativaFase1_KalliCode).</w:t>
      </w:r>
    </w:p>
    <w:p>
      <w:pPr>
        <w:pStyle w:val="ListParagraph"/>
        <w:numPr>
          <w:ilvl w:val="0"/>
          <w:numId w:val="2"/>
        </w:numPr>
        <w:spacing w:after="80"/>
      </w:pPr>
      <w:r>
        <w:rPr>
          <w:rFonts w:ascii="Calibri" w:cs="Calibri" w:eastAsia="Calibri" w:hAnsi="Calibri"/>
          <w:b w:val="false"/>
          <w:bCs w:val="false"/>
          <w:color w:val="2B2B2B"/>
          <w:sz w:val="22"/>
          <w:szCs w:val="22"/>
        </w:rPr>
        <w:t xml:space="preserve">ADR-018 — Migración del grafo de CodeMapping a PostgreSQL + pgvector.</w:t>
      </w:r>
    </w:p>
    <w:p>
      <w:pPr>
        <w:pStyle w:val="ListParagraph"/>
        <w:numPr>
          <w:ilvl w:val="0"/>
          <w:numId w:val="2"/>
        </w:numPr>
        <w:spacing w:after="80"/>
      </w:pPr>
      <w:r>
        <w:rPr>
          <w:rFonts w:ascii="Calibri" w:cs="Calibri" w:eastAsia="Calibri" w:hAnsi="Calibri"/>
          <w:b w:val="false"/>
          <w:bCs w:val="false"/>
          <w:color w:val="2B2B2B"/>
          <w:sz w:val="22"/>
          <w:szCs w:val="22"/>
        </w:rPr>
        <w:t xml:space="preserve">Tablero Jira del proyecto (espacio capstone).</w:t>
      </w:r>
    </w:p>
    <w:p>
      <w:pPr>
        <w:pStyle w:val="ListParagraph"/>
        <w:numPr>
          <w:ilvl w:val="0"/>
          <w:numId w:val="2"/>
        </w:numPr>
        <w:spacing w:after="80"/>
      </w:pPr>
      <w:r>
        <w:rPr>
          <w:rFonts w:ascii="Calibri" w:cs="Calibri" w:eastAsia="Calibri" w:hAnsi="Calibri"/>
          <w:b w:val="false"/>
          <w:bCs w:val="false"/>
          <w:color w:val="2B2B2B"/>
          <w:sz w:val="22"/>
          <w:szCs w:val="22"/>
        </w:rPr>
        <w:t xml:space="preserve">Plan de Pruebas, Casos de Prueba y Resultados de las Pruebas (Fase 2) — ticket KC-ONB-02-5.</w:t>
      </w:r>
    </w:p>
    <w:p>
      <w:pPr>
        <w:pStyle w:val="Heading1"/>
        <w:pBdr>
          <w:bottom w:val="single" w:color="1E2761" w:sz="12" w:space="4"/>
        </w:pBdr>
        <w:spacing w:after="160" w:before="360"/>
      </w:pPr>
      <w:r>
        <w:rPr>
          <w:rFonts w:ascii="Cambria" w:cs="Cambria" w:eastAsia="Cambria" w:hAnsi="Cambria"/>
          <w:b/>
          <w:bCs/>
          <w:color w:val="1E2761"/>
          <w:sz w:val="30"/>
          <w:szCs w:val="30"/>
        </w:rPr>
        <w:t xml:space="preserve">2. Descripción general</w:t>
      </w:r>
    </w:p>
    <w:p>
      <w:pPr>
        <w:pStyle w:val="Heading2"/>
        <w:spacing w:after="120" w:before="260"/>
      </w:pPr>
      <w:r>
        <w:rPr>
          <w:rFonts w:ascii="Cambria" w:cs="Cambria" w:eastAsia="Cambria" w:hAnsi="Cambria"/>
          <w:b/>
          <w:bCs/>
          <w:color w:val="121A47"/>
          <w:sz w:val="24"/>
          <w:szCs w:val="24"/>
        </w:rPr>
        <w:t xml:space="preserve">2.1 Perspectiva del producto</w:t>
      </w:r>
    </w:p>
    <w:p>
      <w:pPr>
        <w:spacing w:after="120" w:line="276"/>
      </w:pPr>
      <w:r>
        <w:rPr>
          <w:rFonts w:ascii="Calibri" w:cs="Calibri" w:eastAsia="Calibri" w:hAnsi="Calibri"/>
          <w:color w:val="2B2B2B"/>
          <w:sz w:val="22"/>
          <w:szCs w:val="22"/>
        </w:rPr>
        <w:t xml:space="preserve">KalliCode Platform es un subconjunto del producto KalliCode, una plataforma SaaS multi-tenant que automatiza la producción de software mediante agentes de IA auditados. El equipo construye dos de sus componentes centrales, que en la organización real desarrollan equipos separados.</w:t>
      </w:r>
    </w:p>
    <w:p>
      <w:pPr>
        <w:pStyle w:val="Heading2"/>
        <w:spacing w:after="120" w:before="260"/>
      </w:pPr>
      <w:r>
        <w:rPr>
          <w:rFonts w:ascii="Cambria" w:cs="Cambria" w:eastAsia="Cambria" w:hAnsi="Cambria"/>
          <w:b/>
          <w:bCs/>
          <w:color w:val="121A47"/>
          <w:sz w:val="24"/>
          <w:szCs w:val="24"/>
        </w:rPr>
        <w:t xml:space="preserve">2.2 Funciones del producto</w:t>
      </w:r>
    </w:p>
    <w:p>
      <w:pPr>
        <w:pStyle w:val="ListParagraph"/>
        <w:numPr>
          <w:ilvl w:val="0"/>
          <w:numId w:val="2"/>
        </w:numPr>
        <w:spacing w:after="80"/>
      </w:pPr>
      <w:r>
        <w:rPr>
          <w:rFonts w:ascii="Calibri" w:cs="Calibri" w:eastAsia="Calibri" w:hAnsi="Calibri"/>
          <w:b w:val="false"/>
          <w:bCs w:val="false"/>
          <w:color w:val="2B2B2B"/>
          <w:sz w:val="22"/>
          <w:szCs w:val="22"/>
        </w:rPr>
        <w:t xml:space="preserve">Ingesta y mapeo de código fuente multi-lenguaje hacia un grafo de conocimiento.</w:t>
      </w:r>
    </w:p>
    <w:p>
      <w:pPr>
        <w:pStyle w:val="ListParagraph"/>
        <w:numPr>
          <w:ilvl w:val="0"/>
          <w:numId w:val="2"/>
        </w:numPr>
        <w:spacing w:after="80"/>
      </w:pPr>
      <w:r>
        <w:rPr>
          <w:rFonts w:ascii="Calibri" w:cs="Calibri" w:eastAsia="Calibri" w:hAnsi="Calibri"/>
          <w:b w:val="false"/>
          <w:bCs w:val="false"/>
          <w:color w:val="2B2B2B"/>
          <w:sz w:val="22"/>
          <w:szCs w:val="22"/>
        </w:rPr>
        <w:t xml:space="preserve">Orquestación de tickets a través de un pipeline de producción con gates de aprobación humana.</w:t>
      </w:r>
    </w:p>
    <w:p>
      <w:pPr>
        <w:pStyle w:val="ListParagraph"/>
        <w:numPr>
          <w:ilvl w:val="0"/>
          <w:numId w:val="2"/>
        </w:numPr>
        <w:spacing w:after="80"/>
      </w:pPr>
      <w:r>
        <w:rPr>
          <w:rFonts w:ascii="Calibri" w:cs="Calibri" w:eastAsia="Calibri" w:hAnsi="Calibri"/>
          <w:b w:val="false"/>
          <w:bCs w:val="false"/>
          <w:color w:val="2B2B2B"/>
          <w:sz w:val="22"/>
          <w:szCs w:val="22"/>
        </w:rPr>
        <w:t xml:space="preserve">Aislamiento y seguridad de datos entre tenants.</w:t>
      </w:r>
    </w:p>
    <w:p>
      <w:pPr>
        <w:pStyle w:val="Heading2"/>
        <w:spacing w:after="120" w:before="260"/>
      </w:pPr>
      <w:r>
        <w:rPr>
          <w:rFonts w:ascii="Cambria" w:cs="Cambria" w:eastAsia="Cambria" w:hAnsi="Cambria"/>
          <w:b/>
          <w:bCs/>
          <w:color w:val="121A47"/>
          <w:sz w:val="24"/>
          <w:szCs w:val="24"/>
        </w:rPr>
        <w:t xml:space="preserve">2.3 Características de los usuarios</w:t>
      </w:r>
    </w:p>
    <w:p>
      <w:pPr>
        <w:pStyle w:val="ListParagraph"/>
        <w:numPr>
          <w:ilvl w:val="0"/>
          <w:numId w:val="2"/>
        </w:numPr>
        <w:spacing w:after="80"/>
      </w:pPr>
      <w:r>
        <w:rPr>
          <w:rFonts w:ascii="Calibri" w:cs="Calibri" w:eastAsia="Calibri" w:hAnsi="Calibri"/>
          <w:b w:val="false"/>
          <w:bCs w:val="false"/>
          <w:color w:val="2B2B2B"/>
          <w:sz w:val="22"/>
          <w:szCs w:val="22"/>
        </w:rPr>
        <w:t xml:space="preserve">Desarrolladores del propio equipo KalliCode, que consumen el grafo de conocimiento y el orquestador como librerías internas.</w:t>
      </w:r>
    </w:p>
    <w:p>
      <w:pPr>
        <w:pStyle w:val="ListParagraph"/>
        <w:numPr>
          <w:ilvl w:val="0"/>
          <w:numId w:val="2"/>
        </w:numPr>
        <w:spacing w:after="80"/>
      </w:pPr>
      <w:r>
        <w:rPr>
          <w:rFonts w:ascii="Calibri" w:cs="Calibri" w:eastAsia="Calibri" w:hAnsi="Calibri"/>
          <w:b w:val="false"/>
          <w:bCs w:val="false"/>
          <w:color w:val="2B2B2B"/>
          <w:sz w:val="22"/>
          <w:szCs w:val="22"/>
        </w:rPr>
        <w:t xml:space="preserve">Clientes finales de la plataforma (tenants), cuyos repositorios y datos son procesados por el sistema.</w:t>
      </w:r>
    </w:p>
    <w:p>
      <w:pPr>
        <w:pStyle w:val="Heading2"/>
        <w:spacing w:after="120" w:before="260"/>
      </w:pPr>
      <w:r>
        <w:rPr>
          <w:rFonts w:ascii="Cambria" w:cs="Cambria" w:eastAsia="Cambria" w:hAnsi="Cambria"/>
          <w:b/>
          <w:bCs/>
          <w:color w:val="121A47"/>
          <w:sz w:val="24"/>
          <w:szCs w:val="24"/>
        </w:rPr>
        <w:t xml:space="preserve">2.4 Restricciones</w:t>
      </w:r>
    </w:p>
    <w:p>
      <w:pPr>
        <w:pStyle w:val="ListParagraph"/>
        <w:numPr>
          <w:ilvl w:val="0"/>
          <w:numId w:val="2"/>
        </w:numPr>
        <w:spacing w:after="80"/>
      </w:pPr>
      <w:r>
        <w:rPr>
          <w:rFonts w:ascii="Calibri" w:cs="Calibri" w:eastAsia="Calibri" w:hAnsi="Calibri"/>
          <w:b w:val="false"/>
          <w:bCs w:val="false"/>
          <w:color w:val="2B2B2B"/>
          <w:sz w:val="22"/>
          <w:szCs w:val="22"/>
        </w:rPr>
        <w:t xml:space="preserve">Tiempo de desarrollo acotado a las 12 semanas de la asignatura Capstone.</w:t>
      </w:r>
    </w:p>
    <w:p>
      <w:pPr>
        <w:pStyle w:val="ListParagraph"/>
        <w:numPr>
          <w:ilvl w:val="0"/>
          <w:numId w:val="2"/>
        </w:numPr>
        <w:spacing w:after="80"/>
      </w:pPr>
      <w:r>
        <w:rPr>
          <w:rFonts w:ascii="Calibri" w:cs="Calibri" w:eastAsia="Calibri" w:hAnsi="Calibri"/>
          <w:b w:val="false"/>
          <w:bCs w:val="false"/>
          <w:color w:val="2B2B2B"/>
          <w:sz w:val="22"/>
          <w:szCs w:val="22"/>
        </w:rPr>
        <w:t xml:space="preserve">Equipo de 4 personas, compatibilizando el proyecto con práctica profesional o trabajo.</w:t>
      </w:r>
    </w:p>
    <w:p>
      <w:pPr>
        <w:pStyle w:val="ListParagraph"/>
        <w:numPr>
          <w:ilvl w:val="0"/>
          <w:numId w:val="2"/>
        </w:numPr>
        <w:spacing w:after="80"/>
      </w:pPr>
      <w:r>
        <w:rPr>
          <w:rFonts w:ascii="Calibri" w:cs="Calibri" w:eastAsia="Calibri" w:hAnsi="Calibri"/>
          <w:b w:val="false"/>
          <w:bCs w:val="false"/>
          <w:color w:val="2B2B2B"/>
          <w:sz w:val="22"/>
          <w:szCs w:val="22"/>
        </w:rPr>
        <w:t xml:space="preserve">Uso de herramientas gratuitas o de nivel educacional.</w:t>
      </w:r>
    </w:p>
    <w:p>
      <w:pPr>
        <w:pStyle w:val="Heading2"/>
        <w:spacing w:after="120" w:before="260"/>
      </w:pPr>
      <w:r>
        <w:rPr>
          <w:rFonts w:ascii="Cambria" w:cs="Cambria" w:eastAsia="Cambria" w:hAnsi="Cambria"/>
          <w:b/>
          <w:bCs/>
          <w:color w:val="121A47"/>
          <w:sz w:val="24"/>
          <w:szCs w:val="24"/>
        </w:rPr>
        <w:t xml:space="preserve">2.5 Supuestos y dependencias</w:t>
      </w:r>
    </w:p>
    <w:p>
      <w:pPr>
        <w:pStyle w:val="ListParagraph"/>
        <w:numPr>
          <w:ilvl w:val="0"/>
          <w:numId w:val="2"/>
        </w:numPr>
        <w:spacing w:after="80"/>
      </w:pPr>
      <w:r>
        <w:rPr>
          <w:rFonts w:ascii="Calibri" w:cs="Calibri" w:eastAsia="Calibri" w:hAnsi="Calibri"/>
          <w:b w:val="false"/>
          <w:bCs w:val="false"/>
          <w:color w:val="2B2B2B"/>
          <w:sz w:val="22"/>
          <w:szCs w:val="22"/>
        </w:rPr>
        <w:t xml:space="preserve">Se asume acceso continuo al repositorio Git y a las cuentas de servicio (Azure, LLM) del programa KalliCode.</w:t>
      </w:r>
    </w:p>
    <w:p>
      <w:pPr>
        <w:pStyle w:val="ListParagraph"/>
        <w:numPr>
          <w:ilvl w:val="0"/>
          <w:numId w:val="2"/>
        </w:numPr>
        <w:spacing w:after="80"/>
      </w:pPr>
      <w:r>
        <w:rPr>
          <w:rFonts w:ascii="Calibri" w:cs="Calibri" w:eastAsia="Calibri" w:hAnsi="Calibri"/>
          <w:b w:val="false"/>
          <w:bCs w:val="false"/>
          <w:color w:val="2B2B2B"/>
          <w:sz w:val="22"/>
          <w:szCs w:val="22"/>
        </w:rPr>
        <w:t xml:space="preserve">El sistema depende de la disponibilidad de tree-sitter, PostgreSQL 16 + pgvector y Redis Streams.</w:t>
      </w:r>
    </w:p>
    <w:p>
      <w:pPr>
        <w:pStyle w:val="Heading1"/>
        <w:pBdr>
          <w:bottom w:val="single" w:color="1E2761" w:sz="12" w:space="4"/>
        </w:pBdr>
        <w:spacing w:after="160" w:before="360"/>
      </w:pPr>
      <w:r>
        <w:rPr>
          <w:rFonts w:ascii="Cambria" w:cs="Cambria" w:eastAsia="Cambria" w:hAnsi="Cambria"/>
          <w:b/>
          <w:bCs/>
          <w:color w:val="1E2761"/>
          <w:sz w:val="30"/>
          <w:szCs w:val="30"/>
        </w:rPr>
        <w:t xml:space="preserve">3. Requerimientos específicos</w:t>
      </w:r>
    </w:p>
    <w:p>
      <w:pPr>
        <w:pStyle w:val="Heading2"/>
        <w:spacing w:after="120" w:before="260"/>
      </w:pPr>
      <w:r>
        <w:rPr>
          <w:rFonts w:ascii="Cambria" w:cs="Cambria" w:eastAsia="Cambria" w:hAnsi="Cambria"/>
          <w:b/>
          <w:bCs/>
          <w:color w:val="121A47"/>
          <w:sz w:val="24"/>
          <w:szCs w:val="24"/>
        </w:rPr>
        <w:t xml:space="preserve">3.1 Requerimientos funcionales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1000"/>
        <w:gridCol w:w="7400"/>
      </w:tblGrid>
      <w:tr>
        <w:trPr>
          <w:tblHeader/>
        </w:trPr>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7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RF-01</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parsear repositorios de código fuente multi-lenguaje (TypeScript, TSX, JavaScript, Python, Java, SQL) utilizando tree-sitter.</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RF-02</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extraer símbolos (funciones, clases, variables) desde el AST de cada archivo parseado, incluyendo funciones anónimas (arrow functions y function expressions).</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RF-03</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generar una signature única por símbolo, evitando colisiones de identificadores en código minificado o de una sola línea.</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RF-04</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introspeccionar el esquema de base de datos del cliente y representarlo como nodos del grafo de conocimiento.</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RF-05</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almacenar el grafo de conocimiento (nodos y aristas) en PostgreSQL 16, en el esquema cm.</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RF-06</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generar embeddings semánticos (BGE-M3) para los símbolos del grafo y almacenarlos en la capa vectorial (pgvector).</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RF-07</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exigir un tenant_id y un repo_url obligatorios en toda operación de configuración e ingesta, sin valores por defecto inseguros.</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RF-08</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generar un inventario ejecutable del catálogo de plantillas LLM, clasificando cada una como ACTIVA o HUÉRFANA (sin llamador).</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RF-09</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recibir tickets del cliente y transicionarlos a través de una máquina de estados finitos de 16 estados (Triage, Design, Build, QA, Security, Deploy).</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RF-10</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requerir aprobación humana explícita en los gates obligatorios (Gate 1 y Preflight) antes de continuar el pipeline.</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RF-11</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aplicar namespacing por tenant_id a todas las claves de Redis Streams del orquestador.</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RF-12</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exponer un contrato de API interna (OpenAPI) congelado y validado mediante pruebas de contrato automatizadas.</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RF-13</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garantizar idempotencia en las operaciones de escritura del orquestador ante reintentos o fallos de red.</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RF-14</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registrar cada transición de estado con metadatos de auditoría (timestamp, tier de LLM utilizado, versión de la plantilla).</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RF-15</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aplicar políticas de Row-Level Security (RLS) en los esquemas core y vec para impedir el acceso cruzado entre tenants.</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RF-16</w:t>
            </w:r>
          </w:p>
        </w:tc>
        <w:tc>
          <w:tcPr>
            <w:tcW w:type="dxa" w:w="7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validar toda la configuración del servicio mediante pydantic-settings, sin exponer secretos en texto claro.</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RF-17 (nuevo v2.0)</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comparar el texto_hash del contenido fuente antes de reescribir un embedding en vec.ticket_embeddings o vec.definition_embeddings, para no reprocesar ni reescribir contenido sin cambios (idempotencia específica de la capa vectorial, distinta de RF-13).</w:t>
            </w:r>
          </w:p>
        </w:tc>
      </w:tr>
    </w:tbl>
    <w:p>
      <w:pPr>
        <w:pStyle w:val="Heading2"/>
        <w:spacing w:after="120" w:before="260"/>
      </w:pPr>
      <w:r>
        <w:rPr>
          <w:rFonts w:ascii="Cambria" w:cs="Cambria" w:eastAsia="Cambria" w:hAnsi="Cambria"/>
          <w:b/>
          <w:bCs/>
          <w:color w:val="121A47"/>
          <w:sz w:val="24"/>
          <w:szCs w:val="24"/>
        </w:rPr>
        <w:t xml:space="preserve">3.2 Requerimientos no funcionales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1000"/>
        <w:gridCol w:w="1700"/>
        <w:gridCol w:w="5700"/>
      </w:tblGrid>
      <w:tr>
        <w:trPr>
          <w:tblHeader/>
        </w:trPr>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17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Categoría</w:t>
            </w:r>
          </w:p>
        </w:tc>
        <w:tc>
          <w:tcPr>
            <w:tcW w:type="dxa" w:w="57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RNF-01</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Seguridad</w:t>
            </w:r>
          </w:p>
        </w:tc>
        <w:tc>
          <w:tcPr>
            <w:tcW w:type="dxa" w:w="5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no debe permitir el acceso cruzado de datos entre tenants bajo ninguna circunstancia.</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RNF-02</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Confiabilidad</w:t>
            </w:r>
          </w:p>
        </w:tc>
        <w:tc>
          <w:tcPr>
            <w:tcW w:type="dxa" w:w="5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parser y el orquestador deben contar con cobertura de pruebas automatizadas (unitarias y de integración) antes de cada despliegue.</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RNF-03</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Mantenibilidad</w:t>
            </w:r>
          </w:p>
        </w:tc>
        <w:tc>
          <w:tcPr>
            <w:tcW w:type="dxa" w:w="5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código debe pasar los linters (Ruff) y el tipado estático estricto (Mypy) sin errores antes de integrarse al monorepo.</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RNF-04</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Portabilidad</w:t>
            </w:r>
          </w:p>
        </w:tc>
        <w:tc>
          <w:tcPr>
            <w:tcW w:type="dxa" w:w="5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sistema debe ejecutarse sobre Python 3.12, gestionado mediante un workspace uv.</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RNF-05</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Usabilidad (developer experience)</w:t>
            </w:r>
          </w:p>
        </w:tc>
        <w:tc>
          <w:tcPr>
            <w:tcW w:type="dxa" w:w="5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Los errores de configuración (por ejemplo, tenant_id ausente) deben fallar de inmediato con mensajes claros y accionables.</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RNF-06</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Auditabilidad</w:t>
            </w:r>
          </w:p>
        </w:tc>
        <w:tc>
          <w:tcPr>
            <w:tcW w:type="dxa" w:w="5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Toda transición del pipeline y toda decisión de aprobación humana debe quedar registrada de forma trazable.</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RNF-07</w:t>
            </w:r>
          </w:p>
        </w:tc>
        <w:tc>
          <w:tcPr>
            <w:tcW w:type="dxa" w:w="1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Escalabilidad</w:t>
            </w:r>
          </w:p>
        </w:tc>
        <w:tc>
          <w:tcPr>
            <w:tcW w:type="dxa" w:w="5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diseño del grafo de conocimiento y del orquestador debe soportar múltiples tenants sin degradar el rendimiento entre ellos.</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RNF-08 (nuevo v2.0)</w:t>
            </w:r>
          </w:p>
        </w:tc>
        <w:tc>
          <w:tcPr>
            <w:tcW w:type="dxa" w:w="1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Verificabilidad</w:t>
            </w:r>
          </w:p>
        </w:tc>
        <w:tc>
          <w:tcPr>
            <w:tcW w:type="dxa" w:w="5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Las pruebas de seguridad multi-tenant (RLS) deben ejecutarse con un rol de base de datos de login real, sin privilegio de superusuario (Bypass RLS), para que la verificación sea representativa del comportamiento en producción.</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Historias de usuario</w:t>
      </w:r>
    </w:p>
    <w:p>
      <w:pPr>
        <w:spacing w:after="120" w:line="276"/>
      </w:pPr>
      <w:r>
        <w:rPr>
          <w:rFonts w:ascii="Calibri" w:cs="Calibri" w:eastAsia="Calibri" w:hAnsi="Calibri"/>
          <w:color w:val="2B2B2B"/>
          <w:sz w:val="22"/>
          <w:szCs w:val="22"/>
        </w:rPr>
        <w:t xml:space="preserve">Estados actualizados al cierre del Sprint 7 (Semana 15). Los cambios respecto a la v1.0 de Fase 1 están en HU-03, HU-05, HU-09, HU-10 (estado actualizado) y HU-11 (nueva).</w:t>
      </w:r>
    </w:p>
    <w:tbl>
      <w:tblPr>
        <w:tblW w:type="dxa" w:w="11000"/>
        <w:tblBorders>
          <w:top w:val="single" w:color="C9CCDB" w:sz="4"/>
          <w:left w:val="single" w:color="C9CCDB" w:sz="4"/>
          <w:bottom w:val="single" w:color="C9CCDB" w:sz="4"/>
          <w:right w:val="single" w:color="C9CCDB" w:sz="4"/>
          <w:insideH w:val="single" w:color="C9CCDB" w:sz="4"/>
          <w:insideV w:val="single" w:color="C9CCDB" w:sz="4"/>
        </w:tblBorders>
      </w:tblPr>
      <w:tblGrid>
        <w:gridCol w:w="800"/>
        <w:gridCol w:w="3100"/>
        <w:gridCol w:w="2900"/>
        <w:gridCol w:w="1000"/>
        <w:gridCol w:w="700"/>
        <w:gridCol w:w="1200"/>
        <w:gridCol w:w="1300"/>
      </w:tblGrid>
      <w:tr>
        <w:trPr>
          <w:tblHeader/>
        </w:trPr>
        <w:tc>
          <w:tcPr>
            <w:tcW w:type="dxa" w:w="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3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Historia</w:t>
            </w:r>
          </w:p>
        </w:tc>
        <w:tc>
          <w:tcPr>
            <w:tcW w:type="dxa" w:w="29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Criterios de aceptación</w:t>
            </w:r>
          </w:p>
        </w:tc>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w:t>
            </w:r>
          </w:p>
        </w:tc>
        <w:tc>
          <w:tcPr>
            <w:tcW w:type="dxa" w:w="7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w:t>
            </w:r>
          </w:p>
        </w:tc>
        <w:tc>
          <w:tcPr>
            <w:tcW w:type="dxa" w:w="1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w:t>
            </w:r>
          </w:p>
        </w:tc>
        <w:tc>
          <w:tcPr>
            <w:tcW w:type="dxa" w:w="1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HU-01</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ingeniero de datos, quiero parsear repositorios multi-lenguaje con tree-sitter, para construir la base de ingesta AST del grafo de conocimiento.</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parser reconoce TS, TSX, JS, Python, Java y SQL; la suite de tests pasa en verde (14/14).</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HU-02</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ingeniero de datos, quiero contar con fixtures de referencia y golden files, para detectar regresiones en el comportamiento del parser.</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Existen fixtures en tests/fixtures/repo_ref/ y golden files generados desde parse_file(); el script generate_golden.py permite regenerarlos.</w:t>
            </w:r>
          </w:p>
        </w:tc>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w:t>
            </w:r>
          </w:p>
        </w:tc>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HU-03</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arquitecto de base de datos, quiero migrar el grafo de conocimiento desde Neo4j/Qdrant hacia PostgreSQL + pgvector, para reducir la complejidad operacional del stack.</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ADR-018 está aprobado; las tablas del esquema cm y vec quedan definidas en PostgreSQL 16 y probadas con una suite de regresión (KC-ONB-02-5).</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13</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HU-04</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arquitecto de seguridad, quiero namespacing de claves Redis por tenant, para evitar fugas de datos entre clientes.</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Todas las claves de Redis Streams incluyen el prefijo kc:t:{tenant_id}:...; cero colisiones detectadas en pruebas.</w:t>
            </w:r>
          </w:p>
        </w:tc>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w:t>
            </w:r>
          </w:p>
        </w:tc>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HU-05</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ingeniero core, quiero diseñar la máquina de estados finitos del orquestador, para automatizar el flujo de un ticket desde Triage hasta Deploy.</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FSM define los 16 estados y las transiciones válidas; cada transición queda registrada con metadatos de auditoría; reanudación tras caída del worker (KC-ORQ-01-4) en curso.</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13</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HU-06</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ingeniero core, quiero congelar el contrato OpenAPI interno, para evitar cambios de ruptura entre los módulos del sistema.</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contrato queda versionado y bajo prueba de contrato automatizada en CI.</w:t>
            </w:r>
          </w:p>
        </w:tc>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w:t>
            </w:r>
          </w:p>
        </w:tc>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HU-07</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tech lead, quiero un inventario ejecutable del catálogo de plantillas LLM, para identificar plantillas huérfanas sin llamador.</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script audit_prompts.py exporta reports/prompt_inventory.json clasificando cada plantilla como ACTIVA o HUÉRFANA.</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HU-08</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tech lead, quiero sanitizar la configuración multi-tenant del paquete, para eliminar valores por defecto inseguros.</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config.py exige tenant_id y repo_url obligatorios; se cierran los hallazgos CM-F01 y CM-F02.</w:t>
            </w:r>
          </w:p>
        </w:tc>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w:t>
            </w:r>
          </w:p>
        </w:tc>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HU-09</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equipo de desarrollo, queremos una suite de tests automatizada sobre el parser y el orquestador, para asegurar la calidad del código ante cambios futuros.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mypy y ruff no reportan observaciones; la suite de tests corre en cada integración al monorepo; cobertura del parser aún incompleta (KC-CM-01-2 en curso).</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Media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Equipo completo</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HU-10</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cliente de la plataforma, quiero que mis datos estén aislados de los de otros tenants, para garantizar la confidencialidad de mi información.</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Las políticas RLS en los esquemas core y vec impiden cualquier consulta cruzada entre tenants; validado con pruebas de no-fuga usando un rol de login real sin bypass (KC-SEC-01-3).</w:t>
            </w:r>
          </w:p>
        </w:tc>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w:t>
            </w:r>
          </w:p>
        </w:tc>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r>
        <w:tc>
          <w:tcPr>
            <w:tcW w:type="dxa" w:w="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HU-11 (nueva v2.0)</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Como equipo de desarrollo, queremos una suite automatizada de aislamiento, recall e idempotencia sobre la capa vectorial, para garantizar que RLS y los upserts de embeddings funcionan correctamente antes de escalar a más tenants.</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5/5 casos aprobados (TestAislamiento, TestRecall, TestIdempotencia) en test_vec_capa_vectorial.py; evidencia en Resultados de las Pruebas (KC-ONB-02-5).</w:t>
            </w:r>
          </w:p>
        </w:tc>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Alta</w:t>
            </w:r>
          </w:p>
        </w:tc>
        <w:tc>
          <w:tcPr>
            <w:tcW w:type="dxa" w:w="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8</w:t>
            </w:r>
          </w:p>
        </w:tc>
        <w:tc>
          <w:tcPr>
            <w:tcW w:type="dxa" w:w="1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w:t>
            </w:r>
          </w:p>
        </w:tc>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Completado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Trazabilidad requerimiento → prueba</w:t>
      </w:r>
    </w:p>
    <w:p>
      <w:pPr>
        <w:spacing w:after="120" w:line="276"/>
      </w:pPr>
      <w:r>
        <w:rPr>
          <w:rFonts w:ascii="Calibri" w:cs="Calibri" w:eastAsia="Calibri" w:hAnsi="Calibri"/>
          <w:color w:val="2B2B2B"/>
          <w:sz w:val="22"/>
          <w:szCs w:val="22"/>
        </w:rPr>
        <w:t xml:space="preserve">Sección nueva de la v2.0: vincula los requerimientos que ya cuentan con verificación automatizada formal (documento Casos de Prueba, Fase 2) con su caso correspondiente, para dejar explícita la cobertura real de pruebas sobre los requerimientos declarados.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3400"/>
        <w:gridCol w:w="1800"/>
        <w:gridCol w:w="3200"/>
      </w:tblGrid>
      <w:tr>
        <w:trPr>
          <w:tblHeader/>
        </w:trPr>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Requerimiento</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Caso de prueba</w:t>
            </w:r>
          </w:p>
        </w:tc>
        <w:tc>
          <w:tcPr>
            <w:tcW w:type="dxa" w:w="3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 de verificación</w:t>
            </w:r>
          </w:p>
        </w:tc>
      </w:tr>
      <w:tr>
        <w:tc>
          <w:tcPr>
            <w:tcW w:type="dxa" w:w="3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RNF-01 / RF-15 — Aislamiento multi-tenant (RLS)</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CP-01, CP-02</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Verificado</w:t>
            </w:r>
          </w:p>
        </w:tc>
      </w:tr>
      <w:tr>
        <w:tc>
          <w:tcPr>
            <w:tcW w:type="dxa" w:w="3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RF-06 — Embeddings semánticos y recall</w:t>
            </w:r>
          </w:p>
        </w:tc>
        <w:tc>
          <w:tcPr>
            <w:tcW w:type="dxa" w:w="1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CP-03</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Verificado</w:t>
            </w:r>
          </w:p>
        </w:tc>
      </w:tr>
      <w:tr>
        <w:tc>
          <w:tcPr>
            <w:tcW w:type="dxa" w:w="3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RF-17 — Idempotencia de la capa vectorial</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CP-04, CP-05</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Verificado</w:t>
            </w:r>
          </w:p>
        </w:tc>
      </w:tr>
      <w:tr>
        <w:tc>
          <w:tcPr>
            <w:tcW w:type="dxa" w:w="34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RF-09 / RF-14 — Normalización e ingreso de tickets al pipeline</w:t>
            </w:r>
          </w:p>
        </w:tc>
        <w:tc>
          <w:tcPr>
            <w:tcW w:type="dxa" w:w="1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CP-06, CP-07, CP-08, CP-09</w:t>
            </w:r>
          </w:p>
        </w:tc>
        <w:tc>
          <w:tcPr>
            <w:tcW w:type="dxa" w:w="3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Documentado, pendiente de automatizar</w:t>
            </w:r>
          </w:p>
        </w:tc>
      </w:tr>
      <w:tr>
        <w:tc>
          <w:tcPr>
            <w:tcW w:type="dxa" w:w="34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RF-13 — Idempotencia del orquestador ante fallos</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CP-10 (parcial: resiliencia del paso de embedding)</w:t>
            </w:r>
          </w:p>
        </w:tc>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Documentado, pendiente de automatizar</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6. Brechas abiertas (observaciones de Fase 2)</w:t>
      </w:r>
    </w:p>
    <w:p>
      <w:pPr>
        <w:pStyle w:val="ListParagraph"/>
        <w:numPr>
          <w:ilvl w:val="0"/>
          <w:numId w:val="2"/>
        </w:numPr>
        <w:spacing w:after="80"/>
      </w:pPr>
      <w:r>
        <w:rPr>
          <w:rFonts w:ascii="Calibri" w:cs="Calibri" w:eastAsia="Calibri" w:hAnsi="Calibri"/>
          <w:b w:val="false"/>
          <w:bCs w:val="false"/>
          <w:color w:val="2B2B2B"/>
          <w:sz w:val="22"/>
          <w:szCs w:val="22"/>
        </w:rPr>
        <w:t xml:space="preserve">RF-02/RF-03 (extracción de símbolos y signatures): cobertura del parser aún incompleta para construcciones anidadas del lenguaje objetivo — ticket KC-CM-01-2 en curso.</w:t>
      </w:r>
    </w:p>
    <w:p>
      <w:pPr>
        <w:pStyle w:val="ListParagraph"/>
        <w:numPr>
          <w:ilvl w:val="0"/>
          <w:numId w:val="2"/>
        </w:numPr>
        <w:spacing w:after="80"/>
      </w:pPr>
      <w:r>
        <w:rPr>
          <w:rFonts w:ascii="Calibri" w:cs="Calibri" w:eastAsia="Calibri" w:hAnsi="Calibri"/>
          <w:b w:val="false"/>
          <w:bCs w:val="false"/>
          <w:color w:val="2B2B2B"/>
          <w:sz w:val="22"/>
          <w:szCs w:val="22"/>
        </w:rPr>
        <w:t xml:space="preserve">RF-09/RF-13 (orquestador): la reanudación de la FSM tras caída del worker está en curso (KC-ORQ-01-4); no tiene aún un caso de prueba automatizado dedicado.</w:t>
      </w:r>
    </w:p>
    <w:p>
      <w:pPr>
        <w:pStyle w:val="ListParagraph"/>
        <w:numPr>
          <w:ilvl w:val="0"/>
          <w:numId w:val="2"/>
        </w:numPr>
        <w:spacing w:after="80"/>
      </w:pPr>
      <w:r>
        <w:rPr>
          <w:rFonts w:ascii="Calibri" w:cs="Calibri" w:eastAsia="Calibri" w:hAnsi="Calibri"/>
          <w:b w:val="false"/>
          <w:bCs w:val="false"/>
          <w:color w:val="2B2B2B"/>
          <w:sz w:val="22"/>
          <w:szCs w:val="22"/>
        </w:rPr>
        <w:t xml:space="preserve">RNF-03 (mantenibilidad): se detectaron 5 fallas preexistentes en packages/codemapping/tests/test_config.py durante la regresión de KC-ONB-02-5; en revisión por el responsable del módulo.</w:t>
      </w:r>
    </w:p>
    <w:p>
      <w:pPr>
        <w:pStyle w:val="ListParagraph"/>
        <w:numPr>
          <w:ilvl w:val="0"/>
          <w:numId w:val="2"/>
        </w:numPr>
        <w:spacing w:after="80"/>
      </w:pPr>
      <w:r>
        <w:rPr>
          <w:rFonts w:ascii="Calibri" w:cs="Calibri" w:eastAsia="Calibri" w:hAnsi="Calibri"/>
          <w:b w:val="false"/>
          <w:bCs w:val="false"/>
          <w:color w:val="2B2B2B"/>
          <w:sz w:val="22"/>
          <w:szCs w:val="22"/>
        </w:rPr>
        <w:t xml:space="preserve">No existe todavía un requerimiento explícito de rotación de credenciales para roles de servicio (identificado como ticket KC-SEC-02-2, pendiente); se recomienda incorporarlo como RNF en la próxima revisión de este documento.</w:t>
      </w:r>
    </w:p>
    <w:sectPr>
      <w:headerReference w:type="default" r:id="rId7"/>
      <w:footerReference w:type="default" r:id="rId8"/>
      <w:pgSz w:w="15840" w:h="12240" w:orient="landscape"/>
      <w:pgMar w:top="12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Requerimientos IEEE 830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2026-10-10T01:40:44.311Z</dcterms:created>
  <dcterms:modified xsi:type="dcterms:W3CDTF">2026-10-10T01:40:44.315Z</dcterms:modified>
</cp:coreProperties>
</file>

<file path=docProps/custom.xml><?xml version="1.0" encoding="utf-8"?>
<Properties xmlns="http://schemas.openxmlformats.org/officeDocument/2006/custom-properties" xmlns:vt="http://schemas.openxmlformats.org/officeDocument/2006/docPropsVTypes"/>
</file>