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mbria" w:cs="Cambria" w:eastAsia="Cambria" w:hAnsi="Cambria"/>
          <w:b/>
          <w:bCs/>
          <w:color w:val="1E2761"/>
          <w:sz w:val="64"/>
          <w:szCs w:val="64"/>
        </w:rPr>
        <w:t xml:space="preserve">KALLICODE</w:t>
      </w:r>
    </w:p>
    <w:p>
      <w:pPr>
        <w:spacing w:after="320" w:before="80"/>
        <w:jc w:val="center"/>
      </w:pPr>
      <w:r>
        <w:rPr>
          <w:rFonts w:ascii="Calibri" w:cs="Calibri" w:eastAsia="Calibri" w:hAnsi="Calibri"/>
          <w:b/>
          <w:bCs/>
          <w:color w:val="B08D57"/>
          <w:sz w:val="24"/>
          <w:szCs w:val="24"/>
        </w:rPr>
        <w:t xml:space="preserve">PLATFORM · PORTAFOLIO DE TÍTULO</w:t>
      </w:r>
    </w:p>
    <w:p>
      <w:pPr>
        <w:spacing w:after="160"/>
        <w:jc w:val="center"/>
      </w:pPr>
      <w:r>
        <w:rPr>
          <w:rFonts w:ascii="Cambria" w:cs="Cambria" w:eastAsia="Cambria" w:hAnsi="Cambria"/>
          <w:b/>
          <w:bCs/>
          <w:color w:val="121A47"/>
          <w:sz w:val="44"/>
          <w:szCs w:val="44"/>
        </w:rPr>
        <w:t xml:space="preserve">Estado de Avance</w:t>
      </w:r>
    </w:p>
    <w:p>
      <w:pPr>
        <w:spacing w:after="900"/>
        <w:jc w:val="center"/>
      </w:pPr>
      <w:r>
        <w:rPr>
          <w:rFonts w:ascii="Calibri" w:cs="Calibri" w:eastAsia="Calibri" w:hAnsi="Calibri"/>
          <w:i/>
          <w:iCs/>
          <w:color w:val="2B2B2B"/>
          <w:sz w:val="24"/>
          <w:szCs w:val="24"/>
        </w:rPr>
        <w:t xml:space="preserve">Actualización consolidada — línea base Sprint 1 a cierre Sprint 7 (Semana 15)</w:t>
      </w:r>
    </w:p>
    <w:tbl>
      <w:tblPr>
        <w:tblW w:type="dxa" w:w="7200"/>
        <w:jc w:val="center"/>
        <w:tblBorders>
          <w:top w:val="single" w:color="C9CCDB" w:sz="4"/>
          <w:left w:val="single" w:color="C9CCDB" w:sz="4"/>
          <w:bottom w:val="single" w:color="C9CCDB" w:sz="4"/>
          <w:right w:val="single" w:color="C9CCDB" w:sz="4"/>
          <w:insideH w:val="single" w:color="C9CCDB" w:sz="4"/>
          <w:insideV w:val="single" w:color="C9CCDB" w:sz="4"/>
        </w:tblBorders>
      </w:tblPr>
      <w:tblGrid>
        <w:gridCol w:w="2400"/>
        <w:gridCol w:w="4800"/>
      </w:tblGrid>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Proyecto</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KalliCode Platform: Fusión CodeMapping y Fábrica de Producción (E1+E2)</w:t>
            </w:r>
          </w:p>
        </w:tc>
      </w:tr>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Código / siglas</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APT122-KC · KC-E1E2</w:t>
            </w:r>
          </w:p>
        </w:tc>
      </w:tr>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Documento</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Informe de Estado de Avance</w:t>
            </w:r>
          </w:p>
        </w:tc>
      </w:tr>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Periodo cubierto</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Semana 1 (01-09-2026) a Semana 15 (09-10-2026)</w:t>
            </w:r>
          </w:p>
        </w:tc>
      </w:tr>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Corte de este informe</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Cierre Sprint 7 — Semana 15</w:t>
            </w:r>
          </w:p>
        </w:tc>
      </w:tr>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Versión</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2.0 (actualiza el informe de Sprint 1 de Fase 1)</w:t>
            </w:r>
          </w:p>
        </w:tc>
      </w:tr>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Fecha</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09-10-2026</w:t>
            </w:r>
          </w:p>
        </w:tc>
      </w:tr>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Elaborado por</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Francisco Salinas</w:t>
            </w:r>
          </w:p>
        </w:tc>
      </w:tr>
    </w:tbl>
    <w:p>
      <w:r>
        <w:br w:type="page"/>
      </w:r>
    </w:p>
    <w:p>
      <w:pPr>
        <w:sectPr>
          <w:pgSz w:w="12240" w:h="15840" w:orient="portrait"/>
          <w:pgMar w:top="1000" w:right="1100" w:bottom="1000" w:left="1100" w:header="708" w:footer="708" w:gutter="0"/>
          <w:pgNumType/>
          <w:docGrid w:linePitch="360"/>
        </w:sectPr>
      </w:pPr>
    </w:p>
    <w:p>
      <w:pPr>
        <w:pStyle w:val="Heading1"/>
        <w:pBdr>
          <w:bottom w:val="single" w:color="1E2761" w:sz="12" w:space="4"/>
        </w:pBdr>
        <w:spacing w:after="160" w:before="360"/>
      </w:pPr>
      <w:r>
        <w:rPr>
          <w:rFonts w:ascii="Cambria" w:cs="Cambria" w:eastAsia="Cambria" w:hAnsi="Cambria"/>
          <w:b/>
          <w:bCs/>
          <w:color w:val="1E2761"/>
          <w:sz w:val="30"/>
          <w:szCs w:val="30"/>
        </w:rPr>
        <w:t xml:space="preserve">1. Introducción</w:t>
      </w:r>
    </w:p>
    <w:p>
      <w:pPr>
        <w:spacing w:after="120" w:line="276"/>
      </w:pPr>
      <w:r>
        <w:rPr>
          <w:rFonts w:ascii="Calibri" w:cs="Calibri" w:eastAsia="Calibri" w:hAnsi="Calibri"/>
          <w:color w:val="2B2B2B"/>
          <w:sz w:val="22"/>
          <w:szCs w:val="22"/>
        </w:rPr>
        <w:t xml:space="preserve">Este informe actualiza el Estado de Avance registrado al cierre del Sprint 1 (Fase 1, Semana 1) con la situación real del proyecto al cierre del Sprint 7 (Semana 15). Consolida la línea base original, el snapshot actual por módulo, el seguimiento de los riesgos preliminares identificados en el Acta de Constitución, y señala explícitamente el periodo sin actas registradas entre ambos cortes, para que quede como un vacío de documentación reconocido y no como una omisión silenciosa.</w:t>
      </w:r>
    </w:p>
    <w:p>
      <w:pPr>
        <w:pStyle w:val="Heading1"/>
        <w:pBdr>
          <w:bottom w:val="single" w:color="1E2761" w:sz="12" w:space="4"/>
        </w:pBdr>
        <w:spacing w:after="160" w:before="360"/>
      </w:pPr>
      <w:r>
        <w:rPr>
          <w:rFonts w:ascii="Cambria" w:cs="Cambria" w:eastAsia="Cambria" w:hAnsi="Cambria"/>
          <w:b/>
          <w:bCs/>
          <w:color w:val="1E2761"/>
          <w:sz w:val="30"/>
          <w:szCs w:val="30"/>
        </w:rPr>
        <w:t xml:space="preserve">2. Resumen ejecutivo</w:t>
      </w:r>
    </w:p>
    <w:tbl>
      <w:tblPr>
        <w:tblW w:type="dxa" w:w="8800"/>
        <w:tblBorders>
          <w:top w:val="single" w:color="C9CCDB" w:sz="4"/>
          <w:left w:val="single" w:color="C9CCDB" w:sz="4"/>
          <w:bottom w:val="single" w:color="C9CCDB" w:sz="4"/>
          <w:right w:val="single" w:color="C9CCDB" w:sz="4"/>
          <w:insideH w:val="single" w:color="C9CCDB" w:sz="4"/>
          <w:insideV w:val="single" w:color="C9CCDB" w:sz="4"/>
        </w:tblBorders>
      </w:tblPr>
      <w:tblGrid>
        <w:gridCol w:w="2600"/>
        <w:gridCol w:w="3100"/>
        <w:gridCol w:w="3100"/>
      </w:tblGrid>
      <w:tr>
        <w:trPr>
          <w:tblHeader/>
        </w:trPr>
        <w:tc>
          <w:tcPr>
            <w:tcW w:type="dxa" w:w="26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Métrica</w:t>
            </w:r>
          </w:p>
        </w:tc>
        <w:tc>
          <w:tcPr>
            <w:tcW w:type="dxa" w:w="31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Sprint 1 (línea base)</w:t>
            </w:r>
          </w:p>
        </w:tc>
        <w:tc>
          <w:tcPr>
            <w:tcW w:type="dxa" w:w="31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Sprint 7 (actual)</w:t>
            </w:r>
          </w:p>
        </w:tc>
      </w:tr>
      <w:tr>
        <w:tc>
          <w:tcPr>
            <w:tcW w:type="dxa" w:w="26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Periodo</w:t>
            </w:r>
          </w:p>
        </w:tc>
        <w:tc>
          <w:tcPr>
            <w:tcW w:type="dxa" w:w="3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01-09-2026 a 07-09-2026</w:t>
            </w:r>
          </w:p>
        </w:tc>
        <w:tc>
          <w:tcPr>
            <w:tcW w:type="dxa" w:w="3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Semana del Sprint 7 — Semana 15, cierre 09-10-2026</w:t>
            </w:r>
          </w:p>
        </w:tc>
      </w:tr>
      <w:tr>
        <w:tc>
          <w:tcPr>
            <w:tcW w:type="dxa" w:w="26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Estado global</w:t>
            </w:r>
          </w:p>
        </w:tc>
        <w:tc>
          <w:tcPr>
            <w:tcW w:type="dxa" w:w="31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Verde (100% de lo comprometido)</w:t>
            </w:r>
          </w:p>
        </w:tc>
        <w:tc>
          <w:tcPr>
            <w:tcW w:type="dxa" w:w="31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Verde (100% de las tareas comprometidas del sprint)</w:t>
            </w:r>
          </w:p>
        </w:tc>
      </w:tr>
      <w:tr>
        <w:tc>
          <w:tcPr>
            <w:tcW w:type="dxa" w:w="26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Unidad de seguimiento</w:t>
            </w:r>
          </w:p>
        </w:tc>
        <w:tc>
          <w:tcPr>
            <w:tcW w:type="dxa" w:w="3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Story Points (SP)</w:t>
            </w:r>
          </w:p>
        </w:tc>
        <w:tc>
          <w:tcPr>
            <w:tcW w:type="dxa" w:w="3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Horas estimadas por tarea (ver sección 4)</w:t>
            </w:r>
          </w:p>
        </w:tc>
      </w:tr>
      <w:tr>
        <w:tc>
          <w:tcPr>
            <w:tcW w:type="dxa" w:w="26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Entregable distintivo</w:t>
            </w:r>
          </w:p>
        </w:tc>
        <w:tc>
          <w:tcPr>
            <w:tcW w:type="dxa" w:w="31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Monorepo operativo + contrato OpenAPI v1 congelado</w:t>
            </w:r>
          </w:p>
        </w:tc>
        <w:tc>
          <w:tcPr>
            <w:tcW w:type="dxa" w:w="31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Suite de pruebas de la capa vectorial (5/5) + documentación de Fase 2 completa</w:t>
            </w:r>
          </w:p>
        </w:tc>
      </w:tr>
    </w:tbl>
    <w:p>
      <w:pPr>
        <w:spacing w:after="120" w:line="276"/>
      </w:pPr>
      <w:r>
        <w:rPr>
          <w:rFonts w:ascii="Calibri" w:cs="Calibri" w:eastAsia="Calibri" w:hAnsi="Calibri"/>
          <w:color w:val="2B2B2B"/>
          <w:sz w:val="22"/>
          <w:szCs w:val="22"/>
        </w:rPr>
        <w:t xml:space="preserve">El cambio de unidad de seguimiento (de Story Points a horas estimadas) ocurre porque el tablero Jira del equipo no se compartió completo en este corte; el detalle de tareas del Sprint 7 se tomó de la Documentación Scrum generada esta misma semana. Se recomienda, de cara al informe de Fase 3, volver a reportar en SP para mantener comparabilidad con la línea base.</w:t>
      </w:r>
    </w:p>
    <w:p>
      <w:pPr>
        <w:pStyle w:val="Heading1"/>
        <w:pBdr>
          <w:bottom w:val="single" w:color="1E2761" w:sz="12" w:space="4"/>
        </w:pBdr>
        <w:spacing w:after="160" w:before="360"/>
      </w:pPr>
      <w:r>
        <w:rPr>
          <w:rFonts w:ascii="Cambria" w:cs="Cambria" w:eastAsia="Cambria" w:hAnsi="Cambria"/>
          <w:b/>
          <w:bCs/>
          <w:color w:val="1E2761"/>
          <w:sz w:val="30"/>
          <w:szCs w:val="30"/>
        </w:rPr>
        <w:t xml:space="preserve">3. Vacío de reporting: Sprints 2 a 6</w:t>
      </w:r>
    </w:p>
    <w:p>
      <w:pPr>
        <w:spacing w:after="120" w:line="276"/>
      </w:pPr>
      <w:r>
        <w:rPr>
          <w:rFonts w:ascii="Calibri" w:cs="Calibri" w:eastAsia="Calibri" w:hAnsi="Calibri"/>
          <w:color w:val="2B2B2B"/>
          <w:sz w:val="22"/>
          <w:szCs w:val="22"/>
        </w:rPr>
        <w:t xml:space="preserve">En la carpeta de Documentos de Gestión del Drive compartido del equipo solo se encontraron actas correspondientes al Sprint 1 (Planning, Estado de Avance) y al Sprint 7 (Planning, Review, Retrospectiva, generadas en esta misma fase). No hay actas de Sprint Planning, Review ni Retrospectiva registradas para los Sprints 2, 3, 4, 5 y 6 (aproximadamente Semanas 3 a 13).</w:t>
      </w:r>
    </w:p>
    <w:p>
      <w:pPr>
        <w:spacing w:after="120" w:line="276"/>
      </w:pPr>
      <w:r>
        <w:rPr>
          <w:rFonts w:ascii="Calibri" w:cs="Calibri" w:eastAsia="Calibri" w:hAnsi="Calibri"/>
          <w:color w:val="2B2B2B"/>
          <w:sz w:val="22"/>
          <w:szCs w:val="22"/>
        </w:rPr>
        <w:t xml:space="preserve">Esto no significa que esos sprints no se hayan ejecutado — el volumen de trabajo entregado (capa vectorial con RLS, parser AST en curso, orquestador con FSM de 16 estados, catálogo de plantillas LLM) solo es explicable si hubo avance continuo durante ese periodo — sino que la documentación formal de esos sprints no quedó centralizada donde el resto del equipo pueda auditarla. Se recomienda:</w:t>
      </w:r>
    </w:p>
    <w:p>
      <w:pPr>
        <w:pStyle w:val="ListParagraph"/>
        <w:numPr>
          <w:ilvl w:val="0"/>
          <w:numId w:val="2"/>
        </w:numPr>
        <w:spacing w:after="80"/>
      </w:pPr>
      <w:r>
        <w:rPr>
          <w:rFonts w:ascii="Calibri" w:cs="Calibri" w:eastAsia="Calibri" w:hAnsi="Calibri"/>
          <w:b w:val="false"/>
          <w:bCs w:val="false"/>
          <w:color w:val="2B2B2B"/>
          <w:sz w:val="22"/>
          <w:szCs w:val="22"/>
        </w:rPr>
        <w:t xml:space="preserve">Revisar si existen actas de esos sprints en otro medio (Jira, chat del equipo, documentos personales) y centralizarlas en la carpeta Documentos de gestión.</w:t>
      </w:r>
    </w:p>
    <w:p>
      <w:pPr>
        <w:pStyle w:val="ListParagraph"/>
        <w:numPr>
          <w:ilvl w:val="0"/>
          <w:numId w:val="2"/>
        </w:numPr>
        <w:spacing w:after="80"/>
      </w:pPr>
      <w:r>
        <w:rPr>
          <w:rFonts w:ascii="Calibri" w:cs="Calibri" w:eastAsia="Calibri" w:hAnsi="Calibri"/>
          <w:b w:val="false"/>
          <w:bCs w:val="false"/>
          <w:color w:val="2B2B2B"/>
          <w:sz w:val="22"/>
          <w:szCs w:val="22"/>
        </w:rPr>
        <w:t xml:space="preserve">De no existir, reconstruir al menos un resumen retrospectivo de hitos por sprint (2 a 6) a partir del historial de commits y del tablero Jira, para no dejar un vacío de 10 semanas en la trazabilidad del proyecto.</w:t>
      </w:r>
    </w:p>
    <w:p>
      <w:pPr>
        <w:pStyle w:val="Heading1"/>
        <w:pBdr>
          <w:bottom w:val="single" w:color="1E2761" w:sz="12" w:space="4"/>
        </w:pBdr>
        <w:spacing w:after="160" w:before="360"/>
      </w:pPr>
      <w:r>
        <w:rPr>
          <w:rFonts w:ascii="Cambria" w:cs="Cambria" w:eastAsia="Cambria" w:hAnsi="Cambria"/>
          <w:b/>
          <w:bCs/>
          <w:color w:val="1E2761"/>
          <w:sz w:val="30"/>
          <w:szCs w:val="30"/>
        </w:rPr>
        <w:t xml:space="preserve">4. Estado por módulo (snapshot Sprint 7)</w:t>
      </w:r>
    </w:p>
    <w:p>
      <w:pPr>
        <w:spacing w:after="120" w:line="276"/>
      </w:pPr>
      <w:r>
        <w:rPr>
          <w:rFonts w:ascii="Calibri" w:cs="Calibri" w:eastAsia="Calibri" w:hAnsi="Calibri"/>
          <w:color w:val="2B2B2B"/>
          <w:sz w:val="22"/>
          <w:szCs w:val="22"/>
        </w:rPr>
        <w:t xml:space="preserve">Consolidado a partir del Product Backlog y Sprint Backlog documentados en Documentación Scrum, y de los resultados de ejecución de KC-ONB-02-5.</w:t>
      </w:r>
    </w:p>
    <w:p>
      <w:pPr>
        <w:pStyle w:val="Heading2"/>
        <w:spacing w:after="120" w:before="260"/>
      </w:pPr>
      <w:r>
        <w:rPr>
          <w:rFonts w:ascii="Cambria" w:cs="Cambria" w:eastAsia="Cambria" w:hAnsi="Cambria"/>
          <w:b/>
          <w:bCs/>
          <w:color w:val="121A47"/>
          <w:sz w:val="24"/>
          <w:szCs w:val="24"/>
        </w:rPr>
        <w:t xml:space="preserve">4.1 CodeMapping — Parsers e Ingesta AST (Francisco Salinas)</w:t>
      </w:r>
    </w:p>
    <w:tbl>
      <w:tblPr>
        <w:tblW w:type="dxa" w:w="8200"/>
        <w:tblBorders>
          <w:top w:val="single" w:color="C9CCDB" w:sz="4"/>
          <w:left w:val="single" w:color="C9CCDB" w:sz="4"/>
          <w:bottom w:val="single" w:color="C9CCDB" w:sz="4"/>
          <w:right w:val="single" w:color="C9CCDB" w:sz="4"/>
          <w:insideH w:val="single" w:color="C9CCDB" w:sz="4"/>
          <w:insideV w:val="single" w:color="C9CCDB" w:sz="4"/>
        </w:tblBorders>
      </w:tblPr>
      <w:tblGrid>
        <w:gridCol w:w="2800"/>
        <w:gridCol w:w="3600"/>
        <w:gridCol w:w="1800"/>
      </w:tblGrid>
      <w:tr>
        <w:trPr>
          <w:tblHeader/>
        </w:trPr>
        <w:tc>
          <w:tcPr>
            <w:tcW w:type="dxa" w:w="28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Ticket</w:t>
            </w:r>
          </w:p>
        </w:tc>
        <w:tc>
          <w:tcPr>
            <w:tcW w:type="dxa" w:w="36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Descripción</w:t>
            </w:r>
          </w:p>
        </w:tc>
        <w:tc>
          <w:tcPr>
            <w:tcW w:type="dxa" w:w="18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Estado</w:t>
            </w:r>
          </w:p>
        </w:tc>
      </w:tr>
      <w:tr>
        <w:tc>
          <w:tcPr>
            <w:tcW w:type="dxa" w:w="28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KC-ONB-01-2 / 01-4</w:t>
            </w:r>
          </w:p>
        </w:tc>
        <w:tc>
          <w:tcPr>
            <w:tcW w:type="dxa" w:w="3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Configuración multi-tenant saneada; fixtures y pruebas base del parser (Sprint 1)</w:t>
            </w:r>
          </w:p>
        </w:tc>
        <w:tc>
          <w:tcPr>
            <w:tcW w:type="dxa" w:w="18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2E7D32"/>
                <w:sz w:val="20"/>
                <w:szCs w:val="20"/>
              </w:rPr>
              <w:t xml:space="preserve">Hecho</w:t>
            </w:r>
          </w:p>
        </w:tc>
      </w:tr>
      <w:tr>
        <w:tc>
          <w:tcPr>
            <w:tcW w:type="dxa" w:w="28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KC-ONB-02-5</w:t>
            </w:r>
          </w:p>
        </w:tc>
        <w:tc>
          <w:tcPr>
            <w:tcW w:type="dxa" w:w="36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Suite de aislamiento, recall e idempotencia sobre la capa vectorial — 5/5 casos aprobados</w:t>
            </w:r>
          </w:p>
        </w:tc>
        <w:tc>
          <w:tcPr>
            <w:tcW w:type="dxa" w:w="18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2E7D32"/>
                <w:sz w:val="20"/>
                <w:szCs w:val="20"/>
              </w:rPr>
              <w:t xml:space="preserve">Hecho</w:t>
            </w:r>
          </w:p>
        </w:tc>
      </w:tr>
      <w:tr>
        <w:tc>
          <w:tcPr>
            <w:tcW w:type="dxa" w:w="28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KC-CM-01-2</w:t>
            </w:r>
          </w:p>
        </w:tc>
        <w:tc>
          <w:tcPr>
            <w:tcW w:type="dxa" w:w="3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Cobertura del parser AST para construcciones del lenguaje objetivo (sentencias de control anidadas)</w:t>
            </w:r>
          </w:p>
        </w:tc>
        <w:tc>
          <w:tcPr>
            <w:tcW w:type="dxa" w:w="18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B08D57"/>
                <w:sz w:val="20"/>
                <w:szCs w:val="20"/>
              </w:rPr>
              <w:t xml:space="preserve">En curso</w:t>
            </w:r>
          </w:p>
        </w:tc>
      </w:tr>
    </w:tbl>
    <w:p>
      <w:pPr>
        <w:pStyle w:val="Heading2"/>
        <w:spacing w:after="120" w:before="260"/>
      </w:pPr>
      <w:r>
        <w:rPr>
          <w:rFonts w:ascii="Cambria" w:cs="Cambria" w:eastAsia="Cambria" w:hAnsi="Cambria"/>
          <w:b/>
          <w:bCs/>
          <w:color w:val="121A47"/>
          <w:sz w:val="24"/>
          <w:szCs w:val="24"/>
        </w:rPr>
        <w:t xml:space="preserve">4.2 Fábrica de Producción — Orquestador y Consultas (Mario García)</w:t>
      </w:r>
    </w:p>
    <w:tbl>
      <w:tblPr>
        <w:tblW w:type="dxa" w:w="8200"/>
        <w:tblBorders>
          <w:top w:val="single" w:color="C9CCDB" w:sz="4"/>
          <w:left w:val="single" w:color="C9CCDB" w:sz="4"/>
          <w:bottom w:val="single" w:color="C9CCDB" w:sz="4"/>
          <w:right w:val="single" w:color="C9CCDB" w:sz="4"/>
          <w:insideH w:val="single" w:color="C9CCDB" w:sz="4"/>
          <w:insideV w:val="single" w:color="C9CCDB" w:sz="4"/>
        </w:tblBorders>
      </w:tblPr>
      <w:tblGrid>
        <w:gridCol w:w="2800"/>
        <w:gridCol w:w="3600"/>
        <w:gridCol w:w="1800"/>
      </w:tblGrid>
      <w:tr>
        <w:trPr>
          <w:tblHeader/>
        </w:trPr>
        <w:tc>
          <w:tcPr>
            <w:tcW w:type="dxa" w:w="28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Ticket</w:t>
            </w:r>
          </w:p>
        </w:tc>
        <w:tc>
          <w:tcPr>
            <w:tcW w:type="dxa" w:w="36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Descripción</w:t>
            </w:r>
          </w:p>
        </w:tc>
        <w:tc>
          <w:tcPr>
            <w:tcW w:type="dxa" w:w="18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Estado</w:t>
            </w:r>
          </w:p>
        </w:tc>
      </w:tr>
      <w:tr>
        <w:tc>
          <w:tcPr>
            <w:tcW w:type="dxa" w:w="28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KC-FAB-01-1 / 01-3 / 01-5</w:t>
            </w:r>
          </w:p>
        </w:tc>
        <w:tc>
          <w:tcPr>
            <w:tcW w:type="dxa" w:w="3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Idempotencia de /internal/v1, modelado Pydantic y contrato OpenAPI congelado (Sprint 1)</w:t>
            </w:r>
          </w:p>
        </w:tc>
        <w:tc>
          <w:tcPr>
            <w:tcW w:type="dxa" w:w="18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2E7D32"/>
                <w:sz w:val="20"/>
                <w:szCs w:val="20"/>
              </w:rPr>
              <w:t xml:space="preserve">Hecho</w:t>
            </w:r>
          </w:p>
        </w:tc>
      </w:tr>
      <w:tr>
        <w:tc>
          <w:tcPr>
            <w:tcW w:type="dxa" w:w="28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KC-ORQ-01-4</w:t>
            </w:r>
          </w:p>
        </w:tc>
        <w:tc>
          <w:tcPr>
            <w:tcW w:type="dxa" w:w="36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Reanudación de la FSM de 16 estados tras caída del worker (checkpoint en Redis Streams)</w:t>
            </w:r>
          </w:p>
        </w:tc>
        <w:tc>
          <w:tcPr>
            <w:tcW w:type="dxa" w:w="18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B08D57"/>
                <w:sz w:val="20"/>
                <w:szCs w:val="20"/>
              </w:rPr>
              <w:t xml:space="preserve">En curso</w:t>
            </w:r>
          </w:p>
        </w:tc>
      </w:tr>
      <w:tr>
        <w:tc>
          <w:tcPr>
            <w:tcW w:type="dxa" w:w="28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KC-ORQ-02-1</w:t>
            </w:r>
          </w:p>
        </w:tc>
        <w:tc>
          <w:tcPr>
            <w:tcW w:type="dxa" w:w="3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Endpoint de consulta de estado/historial de ticket</w:t>
            </w:r>
          </w:p>
        </w:tc>
        <w:tc>
          <w:tcPr>
            <w:tcW w:type="dxa" w:w="18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B3261E"/>
                <w:sz w:val="20"/>
                <w:szCs w:val="20"/>
              </w:rPr>
              <w:t xml:space="preserve">Pendiente</w:t>
            </w:r>
          </w:p>
        </w:tc>
      </w:tr>
      <w:tr>
        <w:tc>
          <w:tcPr>
            <w:tcW w:type="dxa" w:w="28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KC-API-01-1</w:t>
            </w:r>
          </w:p>
        </w:tc>
        <w:tc>
          <w:tcPr>
            <w:tcW w:type="dxa" w:w="36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API pública documentada para consultar estado de tickets</w:t>
            </w:r>
          </w:p>
        </w:tc>
        <w:tc>
          <w:tcPr>
            <w:tcW w:type="dxa" w:w="18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B3261E"/>
                <w:sz w:val="20"/>
                <w:szCs w:val="20"/>
              </w:rPr>
              <w:t xml:space="preserve">Pendiente</w:t>
            </w:r>
          </w:p>
        </w:tc>
      </w:tr>
    </w:tbl>
    <w:p>
      <w:pPr>
        <w:pStyle w:val="Heading2"/>
        <w:spacing w:after="120" w:before="260"/>
      </w:pPr>
      <w:r>
        <w:rPr>
          <w:rFonts w:ascii="Cambria" w:cs="Cambria" w:eastAsia="Cambria" w:hAnsi="Cambria"/>
          <w:b/>
          <w:bCs/>
          <w:color w:val="121A47"/>
          <w:sz w:val="24"/>
          <w:szCs w:val="24"/>
        </w:rPr>
        <w:t xml:space="preserve">4.3 Seguridad y Multi-tenencia — BD y RLS (Anderson González)</w:t>
      </w:r>
    </w:p>
    <w:tbl>
      <w:tblPr>
        <w:tblW w:type="dxa" w:w="8200"/>
        <w:tblBorders>
          <w:top w:val="single" w:color="C9CCDB" w:sz="4"/>
          <w:left w:val="single" w:color="C9CCDB" w:sz="4"/>
          <w:bottom w:val="single" w:color="C9CCDB" w:sz="4"/>
          <w:right w:val="single" w:color="C9CCDB" w:sz="4"/>
          <w:insideH w:val="single" w:color="C9CCDB" w:sz="4"/>
          <w:insideV w:val="single" w:color="C9CCDB" w:sz="4"/>
        </w:tblBorders>
      </w:tblPr>
      <w:tblGrid>
        <w:gridCol w:w="2800"/>
        <w:gridCol w:w="3600"/>
        <w:gridCol w:w="1800"/>
      </w:tblGrid>
      <w:tr>
        <w:trPr>
          <w:tblHeader/>
        </w:trPr>
        <w:tc>
          <w:tcPr>
            <w:tcW w:type="dxa" w:w="28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Ticket</w:t>
            </w:r>
          </w:p>
        </w:tc>
        <w:tc>
          <w:tcPr>
            <w:tcW w:type="dxa" w:w="36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Descripción</w:t>
            </w:r>
          </w:p>
        </w:tc>
        <w:tc>
          <w:tcPr>
            <w:tcW w:type="dxa" w:w="18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Estado</w:t>
            </w:r>
          </w:p>
        </w:tc>
      </w:tr>
      <w:tr>
        <w:tc>
          <w:tcPr>
            <w:tcW w:type="dxa" w:w="28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KC-ONB-01-5 / KC-FAB-01-2</w:t>
            </w:r>
          </w:p>
        </w:tc>
        <w:tc>
          <w:tcPr>
            <w:tcW w:type="dxa" w:w="3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ADR-018 formalizado; namespacing de Redis por tenant (Sprint 1)</w:t>
            </w:r>
          </w:p>
        </w:tc>
        <w:tc>
          <w:tcPr>
            <w:tcW w:type="dxa" w:w="18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2E7D32"/>
                <w:sz w:val="20"/>
                <w:szCs w:val="20"/>
              </w:rPr>
              <w:t xml:space="preserve">Hecho</w:t>
            </w:r>
          </w:p>
        </w:tc>
      </w:tr>
      <w:tr>
        <w:tc>
          <w:tcPr>
            <w:tcW w:type="dxa" w:w="28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KC-SEC-01-3</w:t>
            </w:r>
          </w:p>
        </w:tc>
        <w:tc>
          <w:tcPr>
            <w:tcW w:type="dxa" w:w="36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Políticas RLS verificadas sobre core/cm/vec/audit con rol de login real (kallicode_dev)</w:t>
            </w:r>
          </w:p>
        </w:tc>
        <w:tc>
          <w:tcPr>
            <w:tcW w:type="dxa" w:w="18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2E7D32"/>
                <w:sz w:val="20"/>
                <w:szCs w:val="20"/>
              </w:rPr>
              <w:t xml:space="preserve">Hecho</w:t>
            </w:r>
          </w:p>
        </w:tc>
      </w:tr>
      <w:tr>
        <w:tc>
          <w:tcPr>
            <w:tcW w:type="dxa" w:w="28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KC-SEC-02-2</w:t>
            </w:r>
          </w:p>
        </w:tc>
        <w:tc>
          <w:tcPr>
            <w:tcW w:type="dxa" w:w="3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Mecanismo de rotación de credenciales para roles de servicio</w:t>
            </w:r>
          </w:p>
        </w:tc>
        <w:tc>
          <w:tcPr>
            <w:tcW w:type="dxa" w:w="18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B3261E"/>
                <w:sz w:val="20"/>
                <w:szCs w:val="20"/>
              </w:rPr>
              <w:t xml:space="preserve">Pendiente</w:t>
            </w:r>
          </w:p>
        </w:tc>
      </w:tr>
    </w:tbl>
    <w:p>
      <w:pPr>
        <w:pStyle w:val="Heading2"/>
        <w:spacing w:after="120" w:before="260"/>
      </w:pPr>
      <w:r>
        <w:rPr>
          <w:rFonts w:ascii="Cambria" w:cs="Cambria" w:eastAsia="Cambria" w:hAnsi="Cambria"/>
          <w:b/>
          <w:bCs/>
          <w:color w:val="121A47"/>
          <w:sz w:val="24"/>
          <w:szCs w:val="24"/>
        </w:rPr>
        <w:t xml:space="preserve">4.4 LLM y Semántica (Iván Henríquez)</w:t>
      </w:r>
    </w:p>
    <w:tbl>
      <w:tblPr>
        <w:tblW w:type="dxa" w:w="8200"/>
        <w:tblBorders>
          <w:top w:val="single" w:color="C9CCDB" w:sz="4"/>
          <w:left w:val="single" w:color="C9CCDB" w:sz="4"/>
          <w:bottom w:val="single" w:color="C9CCDB" w:sz="4"/>
          <w:right w:val="single" w:color="C9CCDB" w:sz="4"/>
          <w:insideH w:val="single" w:color="C9CCDB" w:sz="4"/>
          <w:insideV w:val="single" w:color="C9CCDB" w:sz="4"/>
        </w:tblBorders>
      </w:tblPr>
      <w:tblGrid>
        <w:gridCol w:w="2800"/>
        <w:gridCol w:w="3600"/>
        <w:gridCol w:w="1800"/>
      </w:tblGrid>
      <w:tr>
        <w:trPr>
          <w:tblHeader/>
        </w:trPr>
        <w:tc>
          <w:tcPr>
            <w:tcW w:type="dxa" w:w="28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Ticket</w:t>
            </w:r>
          </w:p>
        </w:tc>
        <w:tc>
          <w:tcPr>
            <w:tcW w:type="dxa" w:w="36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Descripción</w:t>
            </w:r>
          </w:p>
        </w:tc>
        <w:tc>
          <w:tcPr>
            <w:tcW w:type="dxa" w:w="18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Estado</w:t>
            </w:r>
          </w:p>
        </w:tc>
      </w:tr>
      <w:tr>
        <w:tc>
          <w:tcPr>
            <w:tcW w:type="dxa" w:w="28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KC-ONB-01-1 / KC-FAB-01-4</w:t>
            </w:r>
          </w:p>
        </w:tc>
        <w:tc>
          <w:tcPr>
            <w:tcW w:type="dxa" w:w="3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Empaquetado del workspace uv; auditoría de las 21 plantillas LLM (Sprint 1)</w:t>
            </w:r>
          </w:p>
        </w:tc>
        <w:tc>
          <w:tcPr>
            <w:tcW w:type="dxa" w:w="18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2E7D32"/>
                <w:sz w:val="20"/>
                <w:szCs w:val="20"/>
              </w:rPr>
              <w:t xml:space="preserve">Hecho</w:t>
            </w:r>
          </w:p>
        </w:tc>
      </w:tr>
      <w:tr>
        <w:tc>
          <w:tcPr>
            <w:tcW w:type="dxa" w:w="28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KC-LLM-01-1</w:t>
            </w:r>
          </w:p>
        </w:tc>
        <w:tc>
          <w:tcPr>
            <w:tcW w:type="dxa" w:w="36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Clasificación de tickets entrantes (triage.classify) con modelo de tier económico</w:t>
            </w:r>
          </w:p>
        </w:tc>
        <w:tc>
          <w:tcPr>
            <w:tcW w:type="dxa" w:w="18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2E7D32"/>
                <w:sz w:val="20"/>
                <w:szCs w:val="20"/>
              </w:rPr>
              <w:t xml:space="preserve">Hecho</w:t>
            </w:r>
          </w:p>
        </w:tc>
      </w:tr>
      <w:tr>
        <w:tc>
          <w:tcPr>
            <w:tcW w:type="dxa" w:w="28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KC-LLM-02-3</w:t>
            </w:r>
          </w:p>
        </w:tc>
        <w:tc>
          <w:tcPr>
            <w:tcW w:type="dxa" w:w="3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Catálogo de plantillas de prompts versionado por paso LLM (v2)</w:t>
            </w:r>
          </w:p>
        </w:tc>
        <w:tc>
          <w:tcPr>
            <w:tcW w:type="dxa" w:w="18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B08D57"/>
                <w:sz w:val="20"/>
                <w:szCs w:val="20"/>
              </w:rPr>
              <w:t xml:space="preserve">En curso</w:t>
            </w:r>
          </w:p>
        </w:tc>
      </w:tr>
      <w:tr>
        <w:tc>
          <w:tcPr>
            <w:tcW w:type="dxa" w:w="28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Regresión test_config.py</w:t>
            </w:r>
          </w:p>
        </w:tc>
        <w:tc>
          <w:tcPr>
            <w:tcW w:type="dxa" w:w="36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5 fallas preexistentes detectadas durante la regresión de KC-ONB-02-5, en revisión</w:t>
            </w:r>
          </w:p>
        </w:tc>
        <w:tc>
          <w:tcPr>
            <w:tcW w:type="dxa" w:w="18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B3261E"/>
                <w:sz w:val="20"/>
                <w:szCs w:val="20"/>
              </w:rPr>
              <w:t xml:space="preserve">Abierto</w:t>
            </w:r>
          </w:p>
        </w:tc>
      </w:tr>
    </w:tbl>
    <w:p>
      <w:pPr>
        <w:pStyle w:val="Heading1"/>
        <w:pBdr>
          <w:bottom w:val="single" w:color="1E2761" w:sz="12" w:space="4"/>
        </w:pBdr>
        <w:spacing w:after="160" w:before="360"/>
      </w:pPr>
      <w:r>
        <w:rPr>
          <w:rFonts w:ascii="Cambria" w:cs="Cambria" w:eastAsia="Cambria" w:hAnsi="Cambria"/>
          <w:b/>
          <w:bCs/>
          <w:color w:val="1E2761"/>
          <w:sz w:val="30"/>
          <w:szCs w:val="30"/>
        </w:rPr>
        <w:t xml:space="preserve">5. Seguimiento de riesgos</w:t>
      </w:r>
    </w:p>
    <w:p>
      <w:pPr>
        <w:spacing w:after="120" w:line="276"/>
      </w:pPr>
      <w:r>
        <w:rPr>
          <w:rFonts w:ascii="Calibri" w:cs="Calibri" w:eastAsia="Calibri" w:hAnsi="Calibri"/>
          <w:color w:val="2B2B2B"/>
          <w:sz w:val="22"/>
          <w:szCs w:val="22"/>
        </w:rPr>
        <w:t xml:space="preserve">Estado actual de los riesgos preliminares identificados en el Acta de Constitución y en el Estado de Avance del Sprint 1, más los riesgos nuevos detectados durante el Sprint 7.</w:t>
      </w:r>
    </w:p>
    <w:tbl>
      <w:tblPr>
        <w:tblW w:type="dxa" w:w="8700"/>
        <w:tblBorders>
          <w:top w:val="single" w:color="C9CCDB" w:sz="4"/>
          <w:left w:val="single" w:color="C9CCDB" w:sz="4"/>
          <w:bottom w:val="single" w:color="C9CCDB" w:sz="4"/>
          <w:right w:val="single" w:color="C9CCDB" w:sz="4"/>
          <w:insideH w:val="single" w:color="C9CCDB" w:sz="4"/>
          <w:insideV w:val="single" w:color="C9CCDB" w:sz="4"/>
        </w:tblBorders>
      </w:tblPr>
      <w:tblGrid>
        <w:gridCol w:w="3200"/>
        <w:gridCol w:w="2100"/>
        <w:gridCol w:w="3400"/>
      </w:tblGrid>
      <w:tr>
        <w:trPr>
          <w:tblHeader/>
        </w:trPr>
        <w:tc>
          <w:tcPr>
            <w:tcW w:type="dxa" w:w="32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Riesgo</w:t>
            </w:r>
          </w:p>
        </w:tc>
        <w:tc>
          <w:tcPr>
            <w:tcW w:type="dxa" w:w="21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Origen</w:t>
            </w:r>
          </w:p>
        </w:tc>
        <w:tc>
          <w:tcPr>
            <w:tcW w:type="dxa" w:w="34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Estado actual</w:t>
            </w:r>
          </w:p>
        </w:tc>
      </w:tr>
      <w:tr>
        <w:tc>
          <w:tcPr>
            <w:tcW w:type="dxa" w:w="32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Migración DDL sobre vec.* en PostgreSQL 16 (KC-ONB-02-1) podía bloquear a Iván y Mario.</w:t>
            </w:r>
          </w:p>
        </w:tc>
        <w:tc>
          <w:tcPr>
            <w:tcW w:type="dxa" w:w="2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Estado de Avance Sprint 1</w:t>
            </w:r>
          </w:p>
        </w:tc>
        <w:tc>
          <w:tcPr>
            <w:tcW w:type="dxa" w:w="3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Resuelto — el esquema vec.* está desplegado, probado y con suite de regresión (KC-ONB-02-5).</w:t>
            </w:r>
          </w:p>
        </w:tc>
      </w:tr>
      <w:tr>
        <w:tc>
          <w:tcPr>
            <w:tcW w:type="dxa" w:w="32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Migración D18 (retiro Neo4j/Qdrant) podía introducir regresiones no detectadas por falta de cobertura heredada.</w:t>
            </w:r>
          </w:p>
        </w:tc>
        <w:tc>
          <w:tcPr>
            <w:tcW w:type="dxa" w:w="21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Acta de Constitución</w:t>
            </w:r>
          </w:p>
        </w:tc>
        <w:tc>
          <w:tcPr>
            <w:tcW w:type="dxa" w:w="34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Mitigado — la nueva suite de la capa vectorial cubre aislamiento, recall e idempotencia; cobertura ampliada respecto a la heredada.</w:t>
            </w:r>
          </w:p>
        </w:tc>
      </w:tr>
      <w:tr>
        <w:tc>
          <w:tcPr>
            <w:tcW w:type="dxa" w:w="32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Hallazgos de seguridad multi-tenant heredados (namespacing, RLS) podían tomar más tiempo del estimado.</w:t>
            </w:r>
          </w:p>
        </w:tc>
        <w:tc>
          <w:tcPr>
            <w:tcW w:type="dxa" w:w="2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Acta de Constitución</w:t>
            </w:r>
          </w:p>
        </w:tc>
        <w:tc>
          <w:tcPr>
            <w:tcW w:type="dxa" w:w="3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Resuelto para RLS de la capa vectorial (KC-SEC-01-3); namespacing de Redis ya cerrado desde Sprint 1.</w:t>
            </w:r>
          </w:p>
        </w:tc>
      </w:tr>
      <w:tr>
        <w:tc>
          <w:tcPr>
            <w:tcW w:type="dxa" w:w="32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Desbalance de carga de trabajo entre integrantes.</w:t>
            </w:r>
          </w:p>
        </w:tc>
        <w:tc>
          <w:tcPr>
            <w:tcW w:type="dxa" w:w="21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Acta de Constitución</w:t>
            </w:r>
          </w:p>
        </w:tc>
        <w:tc>
          <w:tcPr>
            <w:tcW w:type="dxa" w:w="34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A monitorear — sin cifra consolidada de SP por integrante desde Sprint 2; se recomienda retomar el seguimiento numérico en el próximo Sprint Planning.</w:t>
            </w:r>
          </w:p>
        </w:tc>
      </w:tr>
      <w:tr>
        <w:tc>
          <w:tcPr>
            <w:tcW w:type="dxa" w:w="32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Cambios de alcance o criterios de evaluación del docente guía.</w:t>
            </w:r>
          </w:p>
        </w:tc>
        <w:tc>
          <w:tcPr>
            <w:tcW w:type="dxa" w:w="2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Acta de Constitución</w:t>
            </w:r>
          </w:p>
        </w:tc>
        <w:tc>
          <w:tcPr>
            <w:tcW w:type="dxa" w:w="3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Sin novedad reportada a la fecha.</w:t>
            </w:r>
          </w:p>
        </w:tc>
      </w:tr>
      <w:tr>
        <w:tc>
          <w:tcPr>
            <w:tcW w:type="dxa" w:w="32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Regresión preexistente en test_config.py (área LLM/Semántica), detectada fuera del ticket en curso.</w:t>
            </w:r>
          </w:p>
        </w:tc>
        <w:tc>
          <w:tcPr>
            <w:tcW w:type="dxa" w:w="21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Resultados de pruebas KC-ONB-02-5 (nuevo)</w:t>
            </w:r>
          </w:p>
        </w:tc>
        <w:tc>
          <w:tcPr>
            <w:tcW w:type="dxa" w:w="34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Abierto — comunicado a Iván Henríquez, en revisión.</w:t>
            </w:r>
          </w:p>
        </w:tc>
      </w:tr>
      <w:tr>
        <w:tc>
          <w:tcPr>
            <w:tcW w:type="dxa" w:w="32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Gate de CI de KC-FAB-02-5 con el umbral de violaciones desalineado (13 detectadas vs. 12 configuradas).</w:t>
            </w:r>
          </w:p>
        </w:tc>
        <w:tc>
          <w:tcPr>
            <w:tcW w:type="dxa" w:w="2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Resultados de pruebas KC-ONB-02-5 (nuevo)</w:t>
            </w:r>
          </w:p>
        </w:tc>
        <w:tc>
          <w:tcPr>
            <w:tcW w:type="dxa" w:w="3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En revisión — ajuste de umbral planificado para el próximo sprint.</w:t>
            </w:r>
          </w:p>
        </w:tc>
      </w:tr>
    </w:tbl>
    <w:p>
      <w:pPr>
        <w:pStyle w:val="Heading1"/>
        <w:pBdr>
          <w:bottom w:val="single" w:color="1E2761" w:sz="12" w:space="4"/>
        </w:pBdr>
        <w:spacing w:after="160" w:before="360"/>
      </w:pPr>
      <w:r>
        <w:rPr>
          <w:rFonts w:ascii="Cambria" w:cs="Cambria" w:eastAsia="Cambria" w:hAnsi="Cambria"/>
          <w:b/>
          <w:bCs/>
          <w:color w:val="1E2761"/>
          <w:sz w:val="30"/>
          <w:szCs w:val="30"/>
        </w:rPr>
        <w:t xml:space="preserve">6. Próximos pasos (Sprint 8)</w:t>
      </w:r>
    </w:p>
    <w:p>
      <w:pPr>
        <w:pStyle w:val="ListParagraph"/>
        <w:numPr>
          <w:ilvl w:val="0"/>
          <w:numId w:val="2"/>
        </w:numPr>
        <w:spacing w:after="80"/>
      </w:pPr>
      <w:r>
        <w:rPr>
          <w:rFonts w:ascii="Calibri" w:cs="Calibri" w:eastAsia="Calibri" w:hAnsi="Calibri"/>
          <w:b w:val="false"/>
          <w:bCs w:val="false"/>
          <w:color w:val="2B2B2B"/>
          <w:sz w:val="22"/>
          <w:szCs w:val="22"/>
        </w:rPr>
        <w:t xml:space="preserve">Cerrar KC-CM-01-2 (cobertura del parser AST) y KC-ORQ-01-4 (reanudación de la FSM), ambos en curso desde el Sprint 7.</w:t>
      </w:r>
    </w:p>
    <w:p>
      <w:pPr>
        <w:pStyle w:val="ListParagraph"/>
        <w:numPr>
          <w:ilvl w:val="0"/>
          <w:numId w:val="2"/>
        </w:numPr>
        <w:spacing w:after="80"/>
      </w:pPr>
      <w:r>
        <w:rPr>
          <w:rFonts w:ascii="Calibri" w:cs="Calibri" w:eastAsia="Calibri" w:hAnsi="Calibri"/>
          <w:b w:val="false"/>
          <w:bCs w:val="false"/>
          <w:color w:val="2B2B2B"/>
          <w:sz w:val="22"/>
          <w:szCs w:val="22"/>
        </w:rPr>
        <w:t xml:space="preserve">Ajustar el umbral del gate de CI de KC-FAB-02-5 al número real de violaciones detectadas.</w:t>
      </w:r>
    </w:p>
    <w:p>
      <w:pPr>
        <w:pStyle w:val="ListParagraph"/>
        <w:numPr>
          <w:ilvl w:val="0"/>
          <w:numId w:val="2"/>
        </w:numPr>
        <w:spacing w:after="80"/>
      </w:pPr>
      <w:r>
        <w:rPr>
          <w:rFonts w:ascii="Calibri" w:cs="Calibri" w:eastAsia="Calibri" w:hAnsi="Calibri"/>
          <w:b w:val="false"/>
          <w:bCs w:val="false"/>
          <w:color w:val="2B2B2B"/>
          <w:sz w:val="22"/>
          <w:szCs w:val="22"/>
        </w:rPr>
        <w:t xml:space="preserve">Revisar y cerrar la regresión de test_config.py en el área de LLM/Semántica.</w:t>
      </w:r>
    </w:p>
    <w:p>
      <w:pPr>
        <w:pStyle w:val="ListParagraph"/>
        <w:numPr>
          <w:ilvl w:val="0"/>
          <w:numId w:val="2"/>
        </w:numPr>
        <w:spacing w:after="80"/>
      </w:pPr>
      <w:r>
        <w:rPr>
          <w:rFonts w:ascii="Calibri" w:cs="Calibri" w:eastAsia="Calibri" w:hAnsi="Calibri"/>
          <w:b w:val="false"/>
          <w:bCs w:val="false"/>
          <w:color w:val="2B2B2B"/>
          <w:sz w:val="22"/>
          <w:szCs w:val="22"/>
        </w:rPr>
        <w:t xml:space="preserve">Reconstruir o centralizar las actas faltantes de los Sprints 2 a 6, aunque sea como resumen retrospectivo.</w:t>
      </w:r>
    </w:p>
    <w:p>
      <w:pPr>
        <w:pStyle w:val="ListParagraph"/>
        <w:numPr>
          <w:ilvl w:val="0"/>
          <w:numId w:val="2"/>
        </w:numPr>
        <w:spacing w:after="80"/>
      </w:pPr>
      <w:r>
        <w:rPr>
          <w:rFonts w:ascii="Calibri" w:cs="Calibri" w:eastAsia="Calibri" w:hAnsi="Calibri"/>
          <w:b w:val="false"/>
          <w:bCs w:val="false"/>
          <w:color w:val="2B2B2B"/>
          <w:sz w:val="22"/>
          <w:szCs w:val="22"/>
        </w:rPr>
        <w:t xml:space="preserve">Retomar el seguimiento numérico de Story Points por integrante para monitorear el riesgo de desbalance de carga.</w:t>
      </w:r>
    </w:p>
    <w:sectPr>
      <w:headerReference w:type="default" r:id="rId7"/>
      <w:footerReference w:type="default" r:id="rId8"/>
      <w:pgSz w:w="12240" w:h="15840" w:orient="portrait"/>
      <w:pgMar w:top="13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7E96"/>
        <w:sz w:val="16"/>
        <w:szCs w:val="16"/>
      </w:rPr>
      <w:t xml:space="preserve">KalliCode Platform — Documento interno de equipo · Página </w:t>
    </w:r>
    <w:r>
      <w:rPr>
        <w:rFonts w:ascii="Calibri" w:cs="Calibri" w:eastAsia="Calibri" w:hAnsi="Calibri"/>
        <w:color w:val="7A7E96"/>
        <w:sz w:val="16"/>
        <w:szCs w:val="16"/>
      </w:rPr>
      <w:fldChar w:fldCharType="begin"/>
      <w:instrText xml:space="preserve">PAGE</w:instrText>
      <w:fldChar w:fldCharType="separate"/>
      <w:fldChar w:fldCharType="end"/>
    </w:r>
    <w:r>
      <w:rPr>
        <w:rFonts w:ascii="Calibri" w:cs="Calibri" w:eastAsia="Calibri" w:hAnsi="Calibri"/>
        <w:color w:val="7A7E96"/>
        <w:sz w:val="16"/>
        <w:szCs w:val="16"/>
      </w:rPr>
      <w:t xml:space="preserve"> de </w:t>
    </w:r>
    <w:r>
      <w:rPr>
        <w:rFonts w:ascii="Calibri" w:cs="Calibri" w:eastAsia="Calibri" w:hAnsi="Calibri"/>
        <w:color w:val="7A7E9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8D57" w:sz="6" w:space="4"/>
      </w:pBdr>
      <w:jc w:val="right"/>
    </w:pPr>
    <w:r>
      <w:rPr>
        <w:rFonts w:ascii="Calibri" w:cs="Calibri" w:eastAsia="Calibri" w:hAnsi="Calibri"/>
        <w:b/>
        <w:bCs/>
        <w:color w:val="1E2761"/>
        <w:sz w:val="16"/>
        <w:szCs w:val="16"/>
      </w:rPr>
      <w:t xml:space="preserve">KalliCode Platform · Estado de Avance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rFonts w:ascii="Calibri" w:cs="Calibri" w:eastAsia="Calibri" w:hAnsi="Calibri"/>
        <w:color w:val="1E276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2026-10-10T01:36:01.462Z</dcterms:created>
  <dcterms:modified xsi:type="dcterms:W3CDTF">2026-10-10T01:36:01.467Z</dcterms:modified>
</cp:coreProperties>
</file>

<file path=docProps/custom.xml><?xml version="1.0" encoding="utf-8"?>
<Properties xmlns="http://schemas.openxmlformats.org/officeDocument/2006/custom-properties" xmlns:vt="http://schemas.openxmlformats.org/officeDocument/2006/docPropsVTypes"/>
</file>