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Resolución de Conflictos</w:t>
      </w:r>
    </w:p>
    <w:p>
      <w:pPr>
        <w:spacing w:after="900"/>
        <w:jc w:val="center"/>
      </w:pPr>
      <w:r>
        <w:rPr>
          <w:rFonts w:ascii="Calibri" w:cs="Calibri" w:eastAsia="Calibri" w:hAnsi="Calibri"/>
          <w:i/>
          <w:iCs/>
          <w:color w:val="2B2B2B"/>
          <w:sz w:val="24"/>
          <w:szCs w:val="24"/>
        </w:rPr>
        <w:t xml:space="preserve">Gobernanza, escalamiento y prevención — equipo KalliCode Platform</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Fusión CodeMapping y Fábrica de Producción (E1+E2)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Código / siglas</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APT122-KC · KC-E1E2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Asignatura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Capstone (PTY4614) — Duoc UC, sede Plaza Oeste</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Docente guía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Luis Bravo</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Resolución de Conflictos</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Elaborado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Introducción</w:t>
      </w:r>
    </w:p>
    <w:p>
      <w:pPr>
        <w:spacing w:after="120" w:line="276"/>
      </w:pPr>
      <w:r>
        <w:rPr>
          <w:rFonts w:ascii="Calibri" w:cs="Calibri" w:eastAsia="Calibri" w:hAnsi="Calibri"/>
          <w:color w:val="2B2B2B"/>
          <w:sz w:val="22"/>
          <w:szCs w:val="22"/>
        </w:rPr>
        <w:t xml:space="preserve">Este documento define cómo el equipo de KalliCode Platform previene, identifica y resuelve los conflictos que surgen durante las 12 semanas del Capstone. No existía como documento independiente en la Fase 1: los acuerdos de gobernanza del equipo estaban implícitos en el Acta de Constitución (modelo de decisión por consenso, sin director de proyecto formal) y en el Plan de Proyecto (Definition of Ready / Definition of Done, Contract-Driven Development). Este documento formaliza esos acuerdos específicamente para la gestión de conflictos, y agrega el procedimiento de escalamiento y el registro de casos.</w:t>
      </w:r>
    </w:p>
    <w:p>
      <w:pPr>
        <w:pStyle w:val="Heading1"/>
        <w:pBdr>
          <w:bottom w:val="single" w:color="1E2761" w:sz="12" w:space="4"/>
        </w:pBdr>
        <w:spacing w:after="160" w:before="360"/>
      </w:pPr>
      <w:r>
        <w:rPr>
          <w:rFonts w:ascii="Cambria" w:cs="Cambria" w:eastAsia="Cambria" w:hAnsi="Cambria"/>
          <w:b/>
          <w:bCs/>
          <w:color w:val="1E2761"/>
          <w:sz w:val="30"/>
          <w:szCs w:val="30"/>
        </w:rPr>
        <w:t xml:space="preserve">2. Principios de gobernanza del equipo</w:t>
      </w:r>
    </w:p>
    <w:p>
      <w:pPr>
        <w:spacing w:after="120" w:line="276"/>
      </w:pPr>
      <w:r>
        <w:rPr>
          <w:rFonts w:ascii="Calibri" w:cs="Calibri" w:eastAsia="Calibri" w:hAnsi="Calibri"/>
          <w:color w:val="2B2B2B"/>
          <w:sz w:val="22"/>
          <w:szCs w:val="22"/>
        </w:rPr>
        <w:t xml:space="preserve">Según el Acta de Constitución, el equipo no tiene un director de proyecto formal: la coordinación técnica y de tablero (Jira) está a cargo de Iván Henríquez como Tech Lead, pero las decisiones técnicas relevantes se toman por consenso de los 4 integrantes. Este modelo determina cómo se resuelven los desacuerdos: ningún integrante tiene autoridad unilateral para imponer una decisión técnica sobre el módulo de otro.</w:t>
      </w:r>
    </w:p>
    <w:p>
      <w:pPr>
        <w:pStyle w:val="ListParagraph"/>
        <w:numPr>
          <w:ilvl w:val="0"/>
          <w:numId w:val="2"/>
        </w:numPr>
        <w:spacing w:after="80"/>
      </w:pPr>
      <w:r>
        <w:rPr>
          <w:rFonts w:ascii="Calibri" w:cs="Calibri" w:eastAsia="Calibri" w:hAnsi="Calibri"/>
          <w:b w:val="false"/>
          <w:bCs w:val="false"/>
          <w:color w:val="2B2B2B"/>
          <w:sz w:val="22"/>
          <w:szCs w:val="22"/>
        </w:rPr>
        <w:t xml:space="preserve">Consenso antes que jerarquía: las decisiones de arquitectura, alcance o prioridad se discuten entre los 4 integrantes; el Tech Lead facilita la discusión y el backlog, no decide en solitario.</w:t>
      </w:r>
    </w:p>
    <w:p>
      <w:pPr>
        <w:pStyle w:val="ListParagraph"/>
        <w:numPr>
          <w:ilvl w:val="0"/>
          <w:numId w:val="2"/>
        </w:numPr>
        <w:spacing w:after="80"/>
      </w:pPr>
      <w:r>
        <w:rPr>
          <w:rFonts w:ascii="Calibri" w:cs="Calibri" w:eastAsia="Calibri" w:hAnsi="Calibri"/>
          <w:b w:val="false"/>
          <w:bCs w:val="false"/>
          <w:color w:val="2B2B2B"/>
          <w:sz w:val="22"/>
          <w:szCs w:val="22"/>
        </w:rPr>
        <w:t xml:space="preserve">Respeto de los límites de módulo: cada integrante es responsable de su área (Iván: LLM/Semántica; Anderson: BD, Seguridad y RLS; Mario: Orquestador y Consultas; Francisco: Parsers e Ingesta AST). Un desacuerdo sobre el código de otro integrante se plantea como observación, no se corrige unilateralmente.</w:t>
      </w:r>
    </w:p>
    <w:p>
      <w:pPr>
        <w:pStyle w:val="ListParagraph"/>
        <w:numPr>
          <w:ilvl w:val="0"/>
          <w:numId w:val="2"/>
        </w:numPr>
        <w:spacing w:after="80"/>
      </w:pPr>
      <w:r>
        <w:rPr>
          <w:rFonts w:ascii="Calibri" w:cs="Calibri" w:eastAsia="Calibri" w:hAnsi="Calibri"/>
          <w:b w:val="false"/>
          <w:bCs w:val="false"/>
          <w:color w:val="2B2B2B"/>
          <w:sz w:val="22"/>
          <w:szCs w:val="22"/>
        </w:rPr>
        <w:t xml:space="preserve">Contratos congelados como mecanismo de prevención: el Plan de Proyecto adopta Contract-Driven Development (OpenAPI v1, modelos Pydantic, DDL SQL) precisamente para desacoplar el trabajo entre integrantes y reducir las dependencias bloqueantes que generan fricción interpersonal.</w:t>
      </w:r>
    </w:p>
    <w:p>
      <w:pPr>
        <w:pStyle w:val="ListParagraph"/>
        <w:numPr>
          <w:ilvl w:val="0"/>
          <w:numId w:val="2"/>
        </w:numPr>
        <w:spacing w:after="80"/>
      </w:pPr>
      <w:r>
        <w:rPr>
          <w:rFonts w:ascii="Calibri" w:cs="Calibri" w:eastAsia="Calibri" w:hAnsi="Calibri"/>
          <w:b w:val="false"/>
          <w:bCs w:val="false"/>
          <w:color w:val="2B2B2B"/>
          <w:sz w:val="22"/>
          <w:szCs w:val="22"/>
        </w:rPr>
        <w:t xml:space="preserve">El docente guía (Luis Bravo) es la instancia de mediación externa, reservada para conflictos que el equipo no logra resolver internamente o que afectan el cumplimiento de la pauta de evaluación.</w:t>
      </w:r>
    </w:p>
    <w:p>
      <w:pPr>
        <w:pStyle w:val="Heading1"/>
        <w:pBdr>
          <w:bottom w:val="single" w:color="1E2761" w:sz="12" w:space="4"/>
        </w:pBdr>
        <w:spacing w:after="160" w:before="360"/>
      </w:pPr>
      <w:r>
        <w:rPr>
          <w:rFonts w:ascii="Cambria" w:cs="Cambria" w:eastAsia="Cambria" w:hAnsi="Cambria"/>
          <w:b/>
          <w:bCs/>
          <w:color w:val="1E2761"/>
          <w:sz w:val="30"/>
          <w:szCs w:val="30"/>
        </w:rPr>
        <w:t xml:space="preserve">3. Tipos de conflicto previstos</w:t>
      </w:r>
    </w:p>
    <w:tbl>
      <w:tblPr>
        <w:tblW w:type="dxa" w:w="9200"/>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gridCol w:w="2000"/>
      </w:tblGrid>
      <w:tr>
        <w:trPr>
          <w:tblHeader/>
        </w:trPr>
        <w:tc>
          <w:tcPr>
            <w:tcW w:type="dxa" w:w="2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w:t>
            </w:r>
          </w:p>
        </w:tc>
        <w:tc>
          <w:tcPr>
            <w:tcW w:type="dxa" w:w="4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Ejemplo en el contexto del proyecto</w:t>
            </w:r>
          </w:p>
        </w:tc>
        <w:tc>
          <w:tcPr>
            <w:tcW w:type="dxa" w:w="2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Nivel de riesgo</w:t>
            </w:r>
          </w:p>
        </w:tc>
      </w:tr>
      <w:tr>
        <w:tc>
          <w:tcPr>
            <w:tcW w:type="dxa" w:w="2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Técnico / de arquitectura</w:t>
            </w:r>
          </w:p>
        </w:tc>
        <w:tc>
          <w:tcPr>
            <w:tcW w:type="dxa" w:w="4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Desacuerdo sobre un contrato de interfaz (OpenAPI, esquema de BD) que afecta a más de un módulo.</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Medio — mitigado por contratos congelados</w:t>
            </w:r>
          </w:p>
        </w:tc>
      </w:tr>
      <w:tr>
        <w:tc>
          <w:tcPr>
            <w:tcW w:type="dxa" w:w="2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 alcance o prioridad</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Qué tickets entran al sprint cuando la capacidad nominal del equipo (~55-60 SP) no alcanza para todo el backlog deseado.</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Medio</w:t>
            </w:r>
          </w:p>
        </w:tc>
      </w:tr>
      <w:tr>
        <w:tc>
          <w:tcPr>
            <w:tcW w:type="dxa" w:w="2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 carga de trabajo</w:t>
            </w:r>
          </w:p>
        </w:tc>
        <w:tc>
          <w:tcPr>
            <w:tcW w:type="dxa" w:w="4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Desbalance de story points entre integrantes, identificado como riesgo preliminar en el Acta de Constitución.</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Alto — riesgo ya identificado formalmente</w:t>
            </w:r>
          </w:p>
        </w:tc>
      </w:tr>
      <w:tr>
        <w:tc>
          <w:tcPr>
            <w:tcW w:type="dxa" w:w="2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 calidad / Definition of Done</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Un Pull Request que no cumple cobertura mínima (80%/95%) o deja advertencias de Ruff/Mypy, pero el autor considera que ya está listo.</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Bajo — mitigado por el gate de CI y revisión de pares</w:t>
            </w:r>
          </w:p>
        </w:tc>
      </w:tr>
      <w:tr>
        <w:tc>
          <w:tcPr>
            <w:tcW w:type="dxa" w:w="2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Interpersonal / de comunicación</w:t>
            </w:r>
          </w:p>
        </w:tc>
        <w:tc>
          <w:tcPr>
            <w:tcW w:type="dxa" w:w="4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Malentendidos por trabajo asíncrono (el equipo compatibiliza el proyecto con trabajo y otras asignaturas).</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Bajo</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4. Proceso de escalamiento</w:t>
      </w:r>
    </w:p>
    <w:p>
      <w:pPr>
        <w:spacing w:after="120" w:line="276"/>
      </w:pPr>
      <w:r>
        <w:rPr>
          <w:rFonts w:ascii="Calibri" w:cs="Calibri" w:eastAsia="Calibri" w:hAnsi="Calibri"/>
          <w:color w:val="2B2B2B"/>
          <w:sz w:val="22"/>
          <w:szCs w:val="22"/>
        </w:rPr>
        <w:t xml:space="preserve">El equipo resuelve los conflictos en el nivel más bajo posible, escalando solo cuando no hay acuerdo. Esto está alineado con la cadencia de ceremonias ya definida en el Plan de Proyecto (Sprint Planning los martes, Daily Standup jueves/viernes, Sprint Review y Retrospectiva los lunes).</w:t>
      </w:r>
    </w:p>
    <w:tbl>
      <w:tblPr>
        <w:tblW w:type="dxa" w:w="8200"/>
        <w:tblBorders>
          <w:top w:val="single" w:color="C9CCDB" w:sz="4"/>
          <w:left w:val="single" w:color="C9CCDB" w:sz="4"/>
          <w:bottom w:val="single" w:color="C9CCDB" w:sz="4"/>
          <w:right w:val="single" w:color="C9CCDB" w:sz="4"/>
          <w:insideH w:val="single" w:color="C9CCDB" w:sz="4"/>
          <w:insideV w:val="single" w:color="C9CCDB" w:sz="4"/>
        </w:tblBorders>
      </w:tblPr>
      <w:tblGrid>
        <w:gridCol w:w="900"/>
        <w:gridCol w:w="3200"/>
        <w:gridCol w:w="4100"/>
      </w:tblGrid>
      <w:tr>
        <w:trPr>
          <w:tblHeader/>
        </w:trPr>
        <w:tc>
          <w:tcPr>
            <w:tcW w:type="dxa" w:w="9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Nivel</w:t>
            </w:r>
          </w:p>
        </w:tc>
        <w:tc>
          <w:tcPr>
            <w:tcW w:type="dxa" w:w="3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Instancia</w:t>
            </w:r>
          </w:p>
        </w:tc>
        <w:tc>
          <w:tcPr>
            <w:tcW w:type="dxa" w:w="4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se usa</w:t>
            </w:r>
          </w:p>
        </w:tc>
      </w:tr>
      <w:tr>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1</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Diálogo directo entre los involucrados</w:t>
            </w:r>
          </w:p>
        </w:tc>
        <w:tc>
          <w:tcPr>
            <w:tcW w:type="dxa" w:w="4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Primer intento siempre: desacuerdo puntual entre 2 integrantes sobre un detalle técnico o de alcance.</w:t>
            </w:r>
          </w:p>
        </w:tc>
      </w:tr>
      <w:tr>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2</w:t>
            </w:r>
          </w:p>
        </w:tc>
        <w:tc>
          <w:tcPr>
            <w:tcW w:type="dxa" w:w="3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Daily Standup (jueves/viernes)</w:t>
            </w:r>
          </w:p>
        </w:tc>
        <w:tc>
          <w:tcPr>
            <w:tcW w:type="dxa" w:w="4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desacuerdo persiste o bloquea una tarea; se expone brevemente para que el resto del equipo lo conozca.</w:t>
            </w:r>
          </w:p>
        </w:tc>
      </w:tr>
      <w:tr>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3</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Sprint Review / Retrospectiva (lunes)</w:t>
            </w:r>
          </w:p>
        </w:tc>
        <w:tc>
          <w:tcPr>
            <w:tcW w:type="dxa" w:w="4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 requiere una decisión de equipo (consenso) o un ajuste de proceso; se discute con tiempo asignado y se documenta el acuerdo en el acta.</w:t>
            </w:r>
          </w:p>
        </w:tc>
      </w:tr>
      <w:tr>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4</w:t>
            </w:r>
          </w:p>
        </w:tc>
        <w:tc>
          <w:tcPr>
            <w:tcW w:type="dxa" w:w="3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Mediación del docente guía (Luis Bravo)</w:t>
            </w:r>
          </w:p>
        </w:tc>
        <w:tc>
          <w:tcPr>
            <w:tcW w:type="dxa" w:w="4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equipo no logra consenso, o el conflicto afecta el cumplimiento de hitos/pauta de evaluación de la asignatura.</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5. Caso aplicado: regresión detectada fuera del módulo propio</w:t>
      </w:r>
    </w:p>
    <w:p>
      <w:pPr>
        <w:spacing w:after="120" w:line="276"/>
      </w:pPr>
      <w:r>
        <w:rPr>
          <w:rFonts w:ascii="Calibri" w:cs="Calibri" w:eastAsia="Calibri" w:hAnsi="Calibri"/>
          <w:color w:val="2B2B2B"/>
          <w:sz w:val="22"/>
          <w:szCs w:val="22"/>
        </w:rPr>
        <w:t xml:space="preserve">Durante el cierre del ticket KC-ONB-02-5 (Sprint 7), la ejecución de la suite completa del monorepo expuso 6 fallas preexistentes no relacionadas al cambio: 5 en packages/codemapping/tests/test_config.py (módulo de LLM/Semántica, a cargo de Iván Henríquez) y 1 en el gate de CI de KC-FAB-02-5. Este caso ilustra en la práctica los principios de la sección 2.</w:t>
      </w:r>
    </w:p>
    <w:p>
      <w:pPr>
        <w:spacing w:after="80" w:before="180"/>
      </w:pPr>
      <w:r>
        <w:rPr>
          <w:rFonts w:ascii="Cambria" w:cs="Cambria" w:eastAsia="Cambria" w:hAnsi="Cambria"/>
          <w:b/>
          <w:bCs/>
          <w:color w:val="B08D57"/>
          <w:sz w:val="22"/>
          <w:szCs w:val="22"/>
        </w:rPr>
        <w:t xml:space="preserve">Cómo se aplicó el principio de respeto de módulo</w:t>
      </w:r>
    </w:p>
    <w:p>
      <w:pPr>
        <w:pStyle w:val="ListParagraph"/>
        <w:numPr>
          <w:ilvl w:val="0"/>
          <w:numId w:val="2"/>
        </w:numPr>
        <w:spacing w:after="80"/>
      </w:pPr>
      <w:r>
        <w:rPr>
          <w:rFonts w:ascii="Calibri" w:cs="Calibri" w:eastAsia="Calibri" w:hAnsi="Calibri"/>
          <w:b w:val="false"/>
          <w:bCs w:val="false"/>
          <w:color w:val="2B2B2B"/>
          <w:sz w:val="22"/>
          <w:szCs w:val="22"/>
        </w:rPr>
        <w:t xml:space="preserve">No se modificó test_config.py ni config.py para "arreglar" la falla, aun cuando habría sido técnicamente posible: esas fallas no eran responsabilidad del ticket en curso y tocar el módulo de otro integrante sin coordinar genera el riesgo exacto que el modelo de contratos congelados busca evitar.</w:t>
      </w:r>
    </w:p>
    <w:p>
      <w:pPr>
        <w:pStyle w:val="ListParagraph"/>
        <w:numPr>
          <w:ilvl w:val="0"/>
          <w:numId w:val="2"/>
        </w:numPr>
        <w:spacing w:after="80"/>
      </w:pPr>
      <w:r>
        <w:rPr>
          <w:rFonts w:ascii="Calibri" w:cs="Calibri" w:eastAsia="Calibri" w:hAnsi="Calibri"/>
          <w:b w:val="false"/>
          <w:bCs w:val="false"/>
          <w:color w:val="2B2B2B"/>
          <w:sz w:val="22"/>
          <w:szCs w:val="22"/>
        </w:rPr>
        <w:t xml:space="preserve">Se documentó el hallazgo con el detalle técnico exacto (archivo, prueba, causa aparente) en los resultados de la ejecución, para que fuera verificable por cualquier integrante.</w:t>
      </w:r>
    </w:p>
    <w:p>
      <w:pPr>
        <w:pStyle w:val="ListParagraph"/>
        <w:numPr>
          <w:ilvl w:val="0"/>
          <w:numId w:val="2"/>
        </w:numPr>
        <w:spacing w:after="80"/>
      </w:pPr>
      <w:r>
        <w:rPr>
          <w:rFonts w:ascii="Calibri" w:cs="Calibri" w:eastAsia="Calibri" w:hAnsi="Calibri"/>
          <w:b w:val="false"/>
          <w:bCs w:val="false"/>
          <w:color w:val="2B2B2B"/>
          <w:sz w:val="22"/>
          <w:szCs w:val="22"/>
        </w:rPr>
        <w:t xml:space="preserve">Se comunicó directamente a Iván Henríquez como responsable del módulo, en vez de dejarlo como una nota perdida en un reporte extenso.</w:t>
      </w:r>
    </w:p>
    <w:p>
      <w:pPr>
        <w:pStyle w:val="ListParagraph"/>
        <w:numPr>
          <w:ilvl w:val="0"/>
          <w:numId w:val="2"/>
        </w:numPr>
        <w:spacing w:after="80"/>
      </w:pPr>
      <w:r>
        <w:rPr>
          <w:rFonts w:ascii="Calibri" w:cs="Calibri" w:eastAsia="Calibri" w:hAnsi="Calibri"/>
          <w:b w:val="false"/>
          <w:bCs w:val="false"/>
          <w:color w:val="2B2B2B"/>
          <w:sz w:val="22"/>
          <w:szCs w:val="22"/>
        </w:rPr>
        <w:t xml:space="preserve">El gate de CI de KC-FAB-02-5 se dejó "en revisión" en vez de forzar una corrección apresurada del umbral configurado, respetando que ese ticket tiene su propio responsable y contexto.</w:t>
      </w:r>
    </w:p>
    <w:p>
      <w:pPr>
        <w:spacing w:after="120" w:line="276"/>
      </w:pPr>
      <w:r>
        <w:rPr>
          <w:rFonts w:ascii="Calibri" w:cs="Calibri" w:eastAsia="Calibri" w:hAnsi="Calibri"/>
          <w:color w:val="2B2B2B"/>
          <w:sz w:val="22"/>
          <w:szCs w:val="22"/>
        </w:rPr>
        <w:t xml:space="preserve">Este caso no fue un conflicto abierto —no hubo desacuerdo entre integrantes—, pero representa el escenario de mayor riesgo de convertirse en uno (invasión de módulo ajeno) y se registra aquí como precedente de buena práctica para el resto del proyecto.</w:t>
      </w:r>
    </w:p>
    <w:p>
      <w:pPr>
        <w:pStyle w:val="Heading1"/>
        <w:pBdr>
          <w:bottom w:val="single" w:color="1E2761" w:sz="12" w:space="4"/>
        </w:pBdr>
        <w:spacing w:after="160" w:before="360"/>
      </w:pPr>
      <w:r>
        <w:rPr>
          <w:rFonts w:ascii="Cambria" w:cs="Cambria" w:eastAsia="Cambria" w:hAnsi="Cambria"/>
          <w:b/>
          <w:bCs/>
          <w:color w:val="1E2761"/>
          <w:sz w:val="30"/>
          <w:szCs w:val="30"/>
        </w:rPr>
        <w:t xml:space="preserve">6. Mecanismos de prevención</w:t>
      </w:r>
    </w:p>
    <w:p>
      <w:pPr>
        <w:pStyle w:val="ListParagraph"/>
        <w:numPr>
          <w:ilvl w:val="0"/>
          <w:numId w:val="2"/>
        </w:numPr>
        <w:spacing w:after="80"/>
      </w:pPr>
      <w:r>
        <w:rPr>
          <w:rFonts w:ascii="Calibri" w:cs="Calibri" w:eastAsia="Calibri" w:hAnsi="Calibri"/>
          <w:b w:val="false"/>
          <w:bCs w:val="false"/>
          <w:color w:val="2B2B2B"/>
          <w:sz w:val="22"/>
          <w:szCs w:val="22"/>
        </w:rPr>
        <w:t xml:space="preserve">Contratos congelados (OpenAPI v1, modelos Pydantic, DDL SQL) que desacoplan el trabajo entre módulos y reducen las dependencias bloqueantes entre integrantes — definido en el Plan de Proyecto como parte del marco Contract-Driven Development.</w:t>
      </w:r>
    </w:p>
    <w:p>
      <w:pPr>
        <w:pStyle w:val="ListParagraph"/>
        <w:numPr>
          <w:ilvl w:val="0"/>
          <w:numId w:val="2"/>
        </w:numPr>
        <w:spacing w:after="80"/>
      </w:pPr>
      <w:r>
        <w:rPr>
          <w:rFonts w:ascii="Calibri" w:cs="Calibri" w:eastAsia="Calibri" w:hAnsi="Calibri"/>
          <w:b w:val="false"/>
          <w:bCs w:val="false"/>
          <w:color w:val="2B2B2B"/>
          <w:sz w:val="22"/>
          <w:szCs w:val="22"/>
        </w:rPr>
        <w:t xml:space="preserve">Definition of Ready / Definition of Done explícitos, que evitan discusiones subjetivas sobre si un ticket está listo para iniciar o cerrar.</w:t>
      </w:r>
    </w:p>
    <w:p>
      <w:pPr>
        <w:pStyle w:val="ListParagraph"/>
        <w:numPr>
          <w:ilvl w:val="0"/>
          <w:numId w:val="2"/>
        </w:numPr>
        <w:spacing w:after="80"/>
      </w:pPr>
      <w:r>
        <w:rPr>
          <w:rFonts w:ascii="Calibri" w:cs="Calibri" w:eastAsia="Calibri" w:hAnsi="Calibri"/>
          <w:b w:val="false"/>
          <w:bCs w:val="false"/>
          <w:color w:val="2B2B2B"/>
          <w:sz w:val="22"/>
          <w:szCs w:val="22"/>
        </w:rPr>
        <w:t xml:space="preserve">Revisión de código cruzada obligatoria (al menos un par técnico) antes de cada merge, que detecta desacuerdos técnicos antes de que lleguen a la rama principal.</w:t>
      </w:r>
    </w:p>
    <w:p>
      <w:pPr>
        <w:pStyle w:val="ListParagraph"/>
        <w:numPr>
          <w:ilvl w:val="0"/>
          <w:numId w:val="2"/>
        </w:numPr>
        <w:spacing w:after="80"/>
      </w:pPr>
      <w:r>
        <w:rPr>
          <w:rFonts w:ascii="Calibri" w:cs="Calibri" w:eastAsia="Calibri" w:hAnsi="Calibri"/>
          <w:b w:val="false"/>
          <w:bCs w:val="false"/>
          <w:color w:val="2B2B2B"/>
          <w:sz w:val="22"/>
          <w:szCs w:val="22"/>
        </w:rPr>
        <w:t xml:space="preserve">EDT (Estructura de Desglose de Trabajo) con responsables claros por paquete de trabajo, que reduce la ambigüedad sobre quién decide qué.</w:t>
      </w:r>
    </w:p>
    <w:p>
      <w:pPr>
        <w:pStyle w:val="ListParagraph"/>
        <w:numPr>
          <w:ilvl w:val="0"/>
          <w:numId w:val="2"/>
        </w:numPr>
        <w:spacing w:after="80"/>
      </w:pPr>
      <w:r>
        <w:rPr>
          <w:rFonts w:ascii="Calibri" w:cs="Calibri" w:eastAsia="Calibri" w:hAnsi="Calibri"/>
          <w:b w:val="false"/>
          <w:bCs w:val="false"/>
          <w:color w:val="2B2B2B"/>
          <w:sz w:val="22"/>
          <w:szCs w:val="22"/>
        </w:rPr>
        <w:t xml:space="preserve">Seguimiento del balance de carga (story points por integrante) en cada Sprint Planning, dado que el desbalance de carga de trabajo está identificado como riesgo preliminar en el Acta de Constitución.</w:t>
      </w:r>
    </w:p>
    <w:p>
      <w:pPr>
        <w:pStyle w:val="Heading1"/>
        <w:pBdr>
          <w:bottom w:val="single" w:color="1E2761" w:sz="12" w:space="4"/>
        </w:pBdr>
        <w:spacing w:after="160" w:before="360"/>
      </w:pPr>
      <w:r>
        <w:rPr>
          <w:rFonts w:ascii="Cambria" w:cs="Cambria" w:eastAsia="Cambria" w:hAnsi="Cambria"/>
          <w:b/>
          <w:bCs/>
          <w:color w:val="1E2761"/>
          <w:sz w:val="30"/>
          <w:szCs w:val="30"/>
        </w:rPr>
        <w:t xml:space="preserve">7. Registro de conflictos</w:t>
      </w:r>
    </w:p>
    <w:p>
      <w:pPr>
        <w:spacing w:after="120" w:line="276"/>
      </w:pPr>
      <w:r>
        <w:rPr>
          <w:rFonts w:ascii="Calibri" w:cs="Calibri" w:eastAsia="Calibri" w:hAnsi="Calibri"/>
          <w:color w:val="2B2B2B"/>
          <w:sz w:val="22"/>
          <w:szCs w:val="22"/>
        </w:rPr>
        <w:t xml:space="preserve">Plantilla de registro para documentar cualquier conflicto o fricción relevante durante el proyecto, con su resolución. Se incluye el caso de la sección 5 como primer registro, a modo de ejemplo del formato.</w:t>
      </w:r>
    </w:p>
    <w:tbl>
      <w:tblPr>
        <w:tblW w:type="dxa" w:w="10400"/>
        <w:tblBorders>
          <w:top w:val="single" w:color="C9CCDB" w:sz="4"/>
          <w:left w:val="single" w:color="C9CCDB" w:sz="4"/>
          <w:bottom w:val="single" w:color="C9CCDB" w:sz="4"/>
          <w:right w:val="single" w:color="C9CCDB" w:sz="4"/>
          <w:insideH w:val="single" w:color="C9CCDB" w:sz="4"/>
          <w:insideV w:val="single" w:color="C9CCDB" w:sz="4"/>
        </w:tblBorders>
      </w:tblPr>
      <w:tblGrid>
        <w:gridCol w:w="1300"/>
        <w:gridCol w:w="3400"/>
        <w:gridCol w:w="2100"/>
        <w:gridCol w:w="2500"/>
        <w:gridCol w:w="1100"/>
      </w:tblGrid>
      <w:tr>
        <w:trPr>
          <w:tblHeader/>
        </w:trPr>
        <w:tc>
          <w:tcPr>
            <w:tcW w:type="dxa" w:w="1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Fecha</w:t>
            </w:r>
          </w:p>
        </w:tc>
        <w:tc>
          <w:tcPr>
            <w:tcW w:type="dxa" w:w="3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2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Involucrados</w:t>
            </w:r>
          </w:p>
        </w:tc>
        <w:tc>
          <w:tcPr>
            <w:tcW w:type="dxa" w:w="25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Resolución</w:t>
            </w:r>
          </w:p>
        </w:tc>
        <w:tc>
          <w:tcPr>
            <w:tcW w:type="dxa" w:w="1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07-10-2026</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Regresión preexistente detectada fuera del módulo del ticket en curso (test_config.py, área LLM/Semántica) durante el cierre de KC-ONB-02-5.</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 (detecta) · Iván Henríquez (responsable del módulo)</w:t>
            </w:r>
          </w:p>
        </w:tc>
        <w:tc>
          <w:tcPr>
            <w:tcW w:type="dxa" w:w="2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 documentó y comunicó el hallazgo sin modificar el módulo ajeno; Iván revisa en su propio ticket durante el Sprint 7.</w:t>
            </w:r>
          </w:p>
        </w:tc>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En seguimiento</w:t>
            </w:r>
          </w:p>
        </w:tc>
      </w:tr>
    </w:tbl>
    <w:p>
      <w:pPr>
        <w:spacing w:before="120"/>
      </w:pPr>
      <w:r>
        <w:rPr>
          <w:rFonts w:ascii="Calibri" w:cs="Calibri" w:eastAsia="Calibri" w:hAnsi="Calibri"/>
          <w:b/>
          <w:bCs/>
          <w:color w:val="1E2761"/>
          <w:sz w:val="22"/>
          <w:szCs w:val="22"/>
        </w:rPr>
        <w:t xml:space="preserve">Nota: </w:t>
      </w:r>
      <w:r>
        <w:rPr>
          <w:rFonts w:ascii="Calibri" w:cs="Calibri" w:eastAsia="Calibri" w:hAnsi="Calibri"/>
          <w:color w:val="2B2B2B"/>
          <w:sz w:val="22"/>
          <w:szCs w:val="22"/>
        </w:rPr>
        <w:t xml:space="preserve">esta tabla se actualiza cada vez que se registre un conflicto nuevo, incluidos los de carga de trabajo, alcance o interpersonales, no solo los técnicos.</w:t>
      </w:r>
    </w:p>
    <w:p>
      <w:pPr>
        <w:pStyle w:val="Heading1"/>
        <w:pBdr>
          <w:bottom w:val="single" w:color="1E2761" w:sz="12" w:space="4"/>
        </w:pBdr>
        <w:spacing w:after="160" w:before="360"/>
      </w:pPr>
      <w:r>
        <w:rPr>
          <w:rFonts w:ascii="Cambria" w:cs="Cambria" w:eastAsia="Cambria" w:hAnsi="Cambria"/>
          <w:b/>
          <w:bCs/>
          <w:color w:val="1E2761"/>
          <w:sz w:val="30"/>
          <w:szCs w:val="30"/>
        </w:rPr>
        <w:t xml:space="preserve">8. Conclusión</w:t>
      </w:r>
    </w:p>
    <w:p>
      <w:pPr>
        <w:spacing w:after="120" w:line="276"/>
      </w:pPr>
      <w:r>
        <w:rPr>
          <w:rFonts w:ascii="Calibri" w:cs="Calibri" w:eastAsia="Calibri" w:hAnsi="Calibri"/>
          <w:color w:val="2B2B2B"/>
          <w:sz w:val="22"/>
          <w:szCs w:val="22"/>
        </w:rPr>
        <w:t xml:space="preserve">El equipo de KalliCode Platform no ha enfrentado, hasta la fecha de este documento, un conflicto abierto que haya requerido escalamiento más allá del nivel 1 (diálogo directo) o 2 (Daily Standup). Esto es consistente con un diseño de proyecto que invierte deliberadamente en prevención —contratos congelados, límites de módulo claros, revisión cruzada— antes que en resolución reactiva. Este documento se mantiene como referencia viva: se actualiza en cada fase con los casos reales que vayan surgiendo.</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Resolución de Conflictos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2026-10-10T01:32:24.355Z</dcterms:created>
  <dcterms:modified xsi:type="dcterms:W3CDTF">2026-10-10T01:32:24.361Z</dcterms:modified>
</cp:coreProperties>
</file>

<file path=docProps/custom.xml><?xml version="1.0" encoding="utf-8"?>
<Properties xmlns="http://schemas.openxmlformats.org/officeDocument/2006/custom-properties" xmlns:vt="http://schemas.openxmlformats.org/officeDocument/2006/docPropsVTypes"/>
</file>