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jc w:val="center"/>
      </w:pPr>
      <w:r>
        <w:rPr>
          <w:rFonts w:ascii="Cambria" w:cs="Cambria" w:eastAsia="Cambria" w:hAnsi="Cambria"/>
          <w:b/>
          <w:bCs/>
          <w:color w:val="1E2761"/>
          <w:sz w:val="64"/>
          <w:szCs w:val="64"/>
        </w:rPr>
        <w:t xml:space="preserve">KALLICODE</w:t>
      </w:r>
    </w:p>
    <w:p>
      <w:pPr>
        <w:spacing w:after="320" w:before="80"/>
        <w:jc w:val="center"/>
      </w:pPr>
      <w:r>
        <w:rPr>
          <w:rFonts w:ascii="Calibri" w:cs="Calibri" w:eastAsia="Calibri" w:hAnsi="Calibri"/>
          <w:b/>
          <w:bCs/>
          <w:color w:val="B08D57"/>
          <w:sz w:val="24"/>
          <w:szCs w:val="24"/>
        </w:rPr>
        <w:t xml:space="preserve">PLATFORM · PORTAFOLIO DE TÍTULO</w:t>
      </w:r>
    </w:p>
    <w:p>
      <w:pPr>
        <w:spacing w:after="160"/>
        <w:jc w:val="center"/>
      </w:pPr>
      <w:r>
        <w:rPr>
          <w:rFonts w:ascii="Cambria" w:cs="Cambria" w:eastAsia="Cambria" w:hAnsi="Cambria"/>
          <w:b/>
          <w:bCs/>
          <w:color w:val="121A47"/>
          <w:sz w:val="44"/>
          <w:szCs w:val="44"/>
        </w:rPr>
        <w:t xml:space="preserve">Mockups — Panel Interno de Monitoreo</w:t>
      </w:r>
    </w:p>
    <w:p>
      <w:pPr>
        <w:spacing w:after="900"/>
        <w:jc w:val="center"/>
      </w:pPr>
      <w:r>
        <w:rPr>
          <w:rFonts w:ascii="Calibri" w:cs="Calibri" w:eastAsia="Calibri" w:hAnsi="Calibri"/>
          <w:i/>
          <w:iCs/>
          <w:color w:val="2B2B2B"/>
          <w:sz w:val="24"/>
          <w:szCs w:val="24"/>
        </w:rPr>
        <w:t xml:space="preserve">KalliCode Platform — versión actualizada a Fase 2, con las 3 pantallas construidas desde cero</w:t>
      </w:r>
    </w:p>
    <w:tbl>
      <w:tblPr>
        <w:tblW w:type="dxa" w:w="7200"/>
        <w:jc w:val="center"/>
        <w:tblBorders>
          <w:top w:val="single" w:color="C9CCDB" w:sz="4"/>
          <w:left w:val="single" w:color="C9CCDB" w:sz="4"/>
          <w:bottom w:val="single" w:color="C9CCDB" w:sz="4"/>
          <w:right w:val="single" w:color="C9CCDB" w:sz="4"/>
          <w:insideH w:val="single" w:color="C9CCDB" w:sz="4"/>
          <w:insideV w:val="single" w:color="C9CCDB" w:sz="4"/>
        </w:tblBorders>
      </w:tblPr>
      <w:tblGrid>
        <w:gridCol w:w="2400"/>
        <w:gridCol w:w="4800"/>
      </w:tblGrid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Proyecto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KalliCode Platform — Fusión CodeMapping y Fábrica de Producción de Software (E1+E2)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 base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Mockups_KalliCode.docx (Fase 1)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Mockups — Panel Interno de Monitoreo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2.0 — agrega los 3 mockups visuales (Fase 1 solo tenía los títulos y la descripción de alcance)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09-10-2026</w:t>
            </w:r>
          </w:p>
        </w:tc>
      </w:tr>
      <w:tr>
        <w:tc>
          <w:tcPr>
            <w:tcW w:type="dxa" w:w="2400"/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Actualizado por</w:t>
            </w:r>
          </w:p>
        </w:tc>
        <w:tc>
          <w:tcPr>
            <w:tcW w:type="dxa" w:w="4800"/>
            <w:shd w:fill="EDEFF7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Francisco Salinas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1. Novedad de esta versión y alcance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El documento de Fase 1 (Mockups_KalliCode.docx) definía correctamente el alcance — el equipo (E1 CodeMapping + E2 Fábrica de Producción) es de backend, y los mockups corresponden a un panel interno mínimo de monitoreo, no al Portal Cliente ni a la Consola de Administración (responsabilidad de otros equipos del programa KalliCode) — pero no incluía ningún mockup visual, solo los 3 títulos con una descripción de una línea cada uno. Esta versión 2.0 construye las 3 pantallas, manteniendo el mismo alcance y los mismos nombres de campos, estados y clases ya usados en Diagrama de Clases v2.0, Diagrama de Casos de Uso v2.0 y Diagramas de Actividad v2.0, para que los cuatro documentos sean consistentes entre sí.</w:t>
      </w: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2. Dashboard de tickets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Lista los tickets de todos los tenants con su estado dentro de la máquina de 16 estados y si tienen un gate pendiente de aprobación humana. El filtro “Gate pendiente” es el que el equipo usaría con más frecuencia: es la cola de trabajo de los responsables humanos (UC-08, Gate.aprobar/rechazar).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37433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3. Detalle de ticket y aprobación de gate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Muestra el avance de un ticket a través de las 6 etapas principales del pipeline (Triage, Design, Build, Review, Preflight, Deploy — las mismas de Diagramas de Actividad v2.0), el gate que requiere aprobación explícita con su Spec resumida (brief, criterios de aceptación, scope_paths), y el historial de transiciones registradas por TransitionService. Los botones Aprobar/Rechazar corresponden directamente a Gate.aprobar(usuario, notas) y Gate.rechazar(usuario, motivo) del Diagrama de Clases v2.0.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4. Explorador del grafo de conocimiento</w:t>
      </w:r>
    </w:p>
    <w:p>
      <w:pPr>
        <w:spacing w:after="120" w:line="276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Permite navegar los nodos (Definition, Concept) y aristas del grafo construido por CodeMapping para un repositorio, e inspeccionar el detalle de un símbolo seleccionado: sus símbolos miembros, el concepto de negocio vinculado con su nivel de confianza, y un snippet del código fuente. El nodo rojo (“curación pendiente”) representa un caso con confianza menor a 0.75, consistente con el flujo de CurationQueueItem de la sección 2 de Diagramas de Actividad v2.0.</w:t>
      </w:r>
    </w:p>
    <w:p>
      <w:pPr>
        <w:spacing w:after="100" w:before="100"/>
        <w:jc w:val="center"/>
      </w:pPr>
      <w:r>
        <w:drawing>
          <wp:inline distT="0" distB="0" distL="0" distR="0">
            <wp:extent cx="5905500" cy="3933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1E2761" w:sz="12" w:space="4"/>
        </w:pBdr>
        <w:spacing w:after="160" w:before="360"/>
      </w:pPr>
      <w:r>
        <w:rPr>
          <w:rFonts w:ascii="Cambria" w:cs="Cambria" w:eastAsia="Cambria" w:hAnsi="Cambria"/>
          <w:b/>
          <w:bCs/>
          <w:color w:val="1E2761"/>
          <w:sz w:val="30"/>
          <w:szCs w:val="30"/>
        </w:rPr>
        <w:t xml:space="preserve">5. Decisiones de diseño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Se usó un tema oscuro (navy/dorado) deliberadamente: es un panel interno de desarrolladores y responsables técnicos, no una interfaz orientada a cliente final, y ese estilo es consistente con el resto de la documentación de Fase 2 (“Midnight Executive”).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Los 3 mockups comparten la misma barra de navegación superior (Dashboard de tickets / Grafo de Conocimiento / Configuración) para transmitir que son pantallas de una misma aplicación, no prototipos aislados.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 w:val="false"/>
          <w:bCs w:val="false"/>
          <w:color w:val="2B2B2B"/>
          <w:sz w:val="22"/>
          <w:szCs w:val="22"/>
        </w:rPr>
        <w:t xml:space="preserve">No se mockeó una pantalla de “Configuración”: queda fuera del alcance descrito en el documento de Fase 1 y no tiene un caso de uso ni clase de dominio que lo respalde en los documentos ya construidos — se dejó solo como ítem de navegación para indicar dónde viviría a futuro.</w:t>
      </w:r>
    </w:p>
    <w:sectPr>
      <w:headerReference w:type="default" r:id="rId7"/>
      <w:footerReference w:type="default" r:id="rId8"/>
      <w:pgSz w:w="15840" w:h="12240" w:orient="landscape"/>
      <w:pgMar w:top="1200" w:right="900" w:bottom="11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A7E96"/>
        <w:sz w:val="16"/>
        <w:szCs w:val="16"/>
      </w:rPr>
      <w:t xml:space="preserve">KalliCode Platform — Documento interno de equipo · Página </w:t>
    </w:r>
    <w:r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A7E96"/>
        <w:sz w:val="16"/>
        <w:szCs w:val="16"/>
      </w:rPr>
      <w:t xml:space="preserve"> de </w:t>
    </w:r>
    <w:r>
      <w:rPr>
        <w:rFonts w:ascii="Calibri" w:cs="Calibri" w:eastAsia="Calibri" w:hAnsi="Calibri"/>
        <w:color w:val="7A7E9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08D57" w:sz="6" w:space="4"/>
      </w:pBdr>
      <w:jc w:val="right"/>
    </w:pPr>
    <w:r>
      <w:rPr>
        <w:rFonts w:ascii="Calibri" w:cs="Calibri" w:eastAsia="Calibri" w:hAnsi="Calibri"/>
        <w:b/>
        <w:bCs/>
        <w:color w:val="1E2761"/>
        <w:sz w:val="16"/>
        <w:szCs w:val="16"/>
      </w:rPr>
      <w:t xml:space="preserve">KalliCode Platform · Mockups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rFonts w:ascii="Calibri" w:cs="Calibri" w:eastAsia="Calibri" w:hAnsi="Calibri"/>
        <w:color w:val="1E2761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dbd237f3ea40df1f732c3276fa8abaa52348bde7.png"/><Relationship Id="rId10" Type="http://schemas.openxmlformats.org/officeDocument/2006/relationships/image" Target="media/70b7563e40c87371780d0a14640a3fb6898449d7.png"/><Relationship Id="rId11" Type="http://schemas.openxmlformats.org/officeDocument/2006/relationships/image" Target="media/fe3979f41a1a723a43093e663f4f151b06015ee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2026-10-10T02:10:06.338Z</dcterms:created>
  <dcterms:modified xsi:type="dcterms:W3CDTF">2026-10-10T02:10:06.339Z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