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mbria" w:cs="Cambria" w:eastAsia="Cambria" w:hAnsi="Cambria"/>
          <w:b/>
          <w:bCs/>
          <w:color w:val="1E2761"/>
          <w:sz w:val="64"/>
          <w:szCs w:val="64"/>
        </w:rPr>
        <w:t xml:space="preserve">KALLICODE</w:t>
      </w:r>
    </w:p>
    <w:p>
      <w:pPr>
        <w:spacing w:after="320" w:before="80"/>
        <w:jc w:val="center"/>
      </w:pPr>
      <w:r>
        <w:rPr>
          <w:rFonts w:ascii="Calibri" w:cs="Calibri" w:eastAsia="Calibri" w:hAnsi="Calibri"/>
          <w:b/>
          <w:bCs/>
          <w:color w:val="B08D57"/>
          <w:sz w:val="24"/>
          <w:szCs w:val="24"/>
        </w:rPr>
        <w:t xml:space="preserve">PLATFORM · PORTAFOLIO DE TÍTULO</w:t>
      </w:r>
    </w:p>
    <w:p>
      <w:pPr>
        <w:spacing w:after="160"/>
        <w:jc w:val="center"/>
      </w:pPr>
      <w:r>
        <w:rPr>
          <w:rFonts w:ascii="Cambria" w:cs="Cambria" w:eastAsia="Cambria" w:hAnsi="Cambria"/>
          <w:b/>
          <w:bCs/>
          <w:color w:val="121A47"/>
          <w:sz w:val="44"/>
          <w:szCs w:val="44"/>
        </w:rPr>
        <w:t xml:space="preserve">Plan de Pruebas</w:t>
      </w:r>
    </w:p>
    <w:p>
      <w:pPr>
        <w:spacing w:after="900"/>
        <w:jc w:val="center"/>
      </w:pPr>
      <w:r>
        <w:rPr>
          <w:rFonts w:ascii="Calibri" w:cs="Calibri" w:eastAsia="Calibri" w:hAnsi="Calibri"/>
          <w:i/>
          <w:iCs/>
          <w:color w:val="2B2B2B"/>
          <w:sz w:val="24"/>
          <w:szCs w:val="24"/>
        </w:rPr>
        <w:t xml:space="preserve">Estrategia, alcance y criterios de calidad para KalliCode Platform</w:t>
      </w:r>
    </w:p>
    <w:tbl>
      <w:tblPr>
        <w:tblW w:type="dxa" w:w="7200"/>
        <w:jc w:val="center"/>
        <w:tblBorders>
          <w:top w:val="single" w:color="C9CCDB" w:sz="4"/>
          <w:left w:val="single" w:color="C9CCDB" w:sz="4"/>
          <w:bottom w:val="single" w:color="C9CCDB" w:sz="4"/>
          <w:right w:val="single" w:color="C9CCDB" w:sz="4"/>
          <w:insideH w:val="single" w:color="C9CCDB" w:sz="4"/>
          <w:insideV w:val="single" w:color="C9CCDB" w:sz="4"/>
        </w:tblBorders>
      </w:tblPr>
      <w:tblGrid>
        <w:gridCol w:w="2400"/>
        <w:gridCol w:w="4800"/>
      </w:tblGrid>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Proyecto</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KalliCode Platform — Portafolio de Título (fusión E1 CodeMapping + E2 Fábrica de Producción de Software)</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Fase</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Fase 2 — Documentos de Gestión de Pruebas</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Versión</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1.0</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Fecha</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09-10-2026</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Equipo</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Iván Henríquez (Tech Lead / LLM-Semántica) · Mario García (Plataforma / Orquestador) · Anderson González (BD / Seguridad / RLS) · Francisco Salinas (Datos / Parsers / Ingesta AST)</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Elaborado por</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 Salinas</w:t>
            </w:r>
          </w:p>
        </w:tc>
      </w:tr>
    </w:tbl>
    <w:p>
      <w:r>
        <w:br w:type="page"/>
      </w:r>
    </w:p>
    <w:p>
      <w:pPr>
        <w:sectPr>
          <w:pgSz w:w="12240" w:h="15840" w:orient="portrait"/>
          <w:pgMar w:top="1000" w:right="1100" w:bottom="1000" w:left="1100" w:header="708" w:footer="708" w:gutter="0"/>
          <w:pgNumType/>
          <w:docGrid w:linePitch="360"/>
        </w:sectPr>
      </w:pPr>
    </w:p>
    <w:p>
      <w:pPr>
        <w:pStyle w:val="Heading1"/>
        <w:pBdr>
          <w:bottom w:val="single" w:color="1E2761" w:sz="12" w:space="4"/>
        </w:pBdr>
        <w:spacing w:after="160" w:before="360"/>
      </w:pPr>
      <w:r>
        <w:rPr>
          <w:rFonts w:ascii="Cambria" w:cs="Cambria" w:eastAsia="Cambria" w:hAnsi="Cambria"/>
          <w:b/>
          <w:bCs/>
          <w:color w:val="1E2761"/>
          <w:sz w:val="30"/>
          <w:szCs w:val="30"/>
        </w:rPr>
        <w:t xml:space="preserve">1. Introducción</w:t>
      </w:r>
    </w:p>
    <w:p>
      <w:pPr>
        <w:spacing w:after="120" w:line="276"/>
      </w:pPr>
      <w:r>
        <w:rPr>
          <w:rFonts w:ascii="Calibri" w:cs="Calibri" w:eastAsia="Calibri" w:hAnsi="Calibri"/>
          <w:color w:val="2B2B2B"/>
          <w:sz w:val="22"/>
          <w:szCs w:val="22"/>
        </w:rPr>
        <w:t xml:space="preserve">Este Plan de Pruebas define el alcance, la estrategia y los criterios con los que el equipo de KalliCode Platform verifica la calidad del sistema a lo largo del ciclo de desarrollo. KalliCode es una plataforma que recibe tickets desde múltiples canales (Jira, GitHub, formulario de soporte, Corestream), los normaliza, los enruta a través de una máquina de estados finitos (FSM) de 16 etapas (Triage → Diseño → Build → QA → Seguridad → Deploy) y usa una capa vectorial (pgvector + embeddings BGE-M3) para deduplicación semántica y recuperación de contexto (RAG) durante el análisis de cada ticket.</w:t>
      </w:r>
    </w:p>
    <w:p>
      <w:pPr>
        <w:spacing w:after="120" w:line="276"/>
      </w:pPr>
      <w:r>
        <w:rPr>
          <w:rFonts w:ascii="Calibri" w:cs="Calibri" w:eastAsia="Calibri" w:hAnsi="Calibri"/>
          <w:color w:val="2B2B2B"/>
          <w:sz w:val="22"/>
          <w:szCs w:val="22"/>
        </w:rPr>
        <w:t xml:space="preserve">Dado que el sistema es multi-tenant (varias organizaciones comparten la misma base de datos bajo aislamiento por Row-Level Security), las pruebas de este plan ponen especial énfasis en tres propiedades no negociables: aislamiento de datos entre tenants, idempotencia de las operaciones de escritura, y calidad del recall semántico de la capa vectorial — las tres verificadas de forma automatizada en la suite descrita en la sección 6.</w:t>
      </w:r>
    </w:p>
    <w:p>
      <w:pPr>
        <w:pStyle w:val="Heading1"/>
        <w:pBdr>
          <w:bottom w:val="single" w:color="1E2761" w:sz="12" w:space="4"/>
        </w:pBdr>
        <w:spacing w:after="160" w:before="360"/>
      </w:pPr>
      <w:r>
        <w:rPr>
          <w:rFonts w:ascii="Cambria" w:cs="Cambria" w:eastAsia="Cambria" w:hAnsi="Cambria"/>
          <w:b/>
          <w:bCs/>
          <w:color w:val="1E2761"/>
          <w:sz w:val="30"/>
          <w:szCs w:val="30"/>
        </w:rPr>
        <w:t xml:space="preserve">2. Objetivos</w:t>
      </w:r>
    </w:p>
    <w:p>
      <w:pPr>
        <w:pStyle w:val="Heading2"/>
        <w:spacing w:after="120" w:before="260"/>
      </w:pPr>
      <w:r>
        <w:rPr>
          <w:rFonts w:ascii="Cambria" w:cs="Cambria" w:eastAsia="Cambria" w:hAnsi="Cambria"/>
          <w:b/>
          <w:bCs/>
          <w:color w:val="121A47"/>
          <w:sz w:val="24"/>
          <w:szCs w:val="24"/>
        </w:rPr>
        <w:t xml:space="preserve">2.1 Objetivo general</w:t>
      </w:r>
    </w:p>
    <w:p>
      <w:pPr>
        <w:spacing w:after="120" w:line="276"/>
      </w:pPr>
      <w:r>
        <w:rPr>
          <w:rFonts w:ascii="Calibri" w:cs="Calibri" w:eastAsia="Calibri" w:hAnsi="Calibri"/>
          <w:color w:val="2B2B2B"/>
          <w:sz w:val="22"/>
          <w:szCs w:val="22"/>
        </w:rPr>
        <w:t xml:space="preserve">Garantizar que cada componente de KalliCode Platform (ingesta, normalización, capa vectorial, orquestador FSM y API) funcione de acuerdo a su diseño, de forma aislada y en conjunto, antes de promover cualquier cambio a un ambiente compartido.</w:t>
      </w:r>
    </w:p>
    <w:p>
      <w:pPr>
        <w:pStyle w:val="Heading2"/>
        <w:spacing w:after="120" w:before="260"/>
      </w:pPr>
      <w:r>
        <w:rPr>
          <w:rFonts w:ascii="Cambria" w:cs="Cambria" w:eastAsia="Cambria" w:hAnsi="Cambria"/>
          <w:b/>
          <w:bCs/>
          <w:color w:val="121A47"/>
          <w:sz w:val="24"/>
          <w:szCs w:val="24"/>
        </w:rPr>
        <w:t xml:space="preserve">2.2 Objetivos específicos</w:t>
      </w:r>
    </w:p>
    <w:p>
      <w:pPr>
        <w:pStyle w:val="ListParagraph"/>
        <w:numPr>
          <w:ilvl w:val="0"/>
          <w:numId w:val="2"/>
        </w:numPr>
        <w:spacing w:after="80"/>
      </w:pPr>
      <w:r>
        <w:rPr>
          <w:rFonts w:ascii="Calibri" w:cs="Calibri" w:eastAsia="Calibri" w:hAnsi="Calibri"/>
          <w:b w:val="false"/>
          <w:bCs w:val="false"/>
          <w:color w:val="2B2B2B"/>
          <w:sz w:val="22"/>
          <w:szCs w:val="22"/>
        </w:rPr>
        <w:t xml:space="preserve">Verificar que el aislamiento multi-tenant (RLS) impide que una organización lea o escriba datos de otra, incluso ante un intento deliberado de forjar el tenant_id.</w:t>
      </w:r>
    </w:p>
    <w:p>
      <w:pPr>
        <w:pStyle w:val="ListParagraph"/>
        <w:numPr>
          <w:ilvl w:val="0"/>
          <w:numId w:val="2"/>
        </w:numPr>
        <w:spacing w:after="80"/>
      </w:pPr>
      <w:r>
        <w:rPr>
          <w:rFonts w:ascii="Calibri" w:cs="Calibri" w:eastAsia="Calibri" w:hAnsi="Calibri"/>
          <w:b w:val="false"/>
          <w:bCs w:val="false"/>
          <w:color w:val="2B2B2B"/>
          <w:sz w:val="22"/>
          <w:szCs w:val="22"/>
        </w:rPr>
        <w:t xml:space="preserve">Verificar que las operaciones de upsert sobre la capa vectorial (vec.ticket_embeddings, vec.definition_embeddings) son idempotentes: contenido sin cambios no genera una escritura ni un recálculo de embedding innecesario.</w:t>
      </w:r>
    </w:p>
    <w:p>
      <w:pPr>
        <w:pStyle w:val="ListParagraph"/>
        <w:numPr>
          <w:ilvl w:val="0"/>
          <w:numId w:val="2"/>
        </w:numPr>
        <w:spacing w:after="80"/>
      </w:pPr>
      <w:r>
        <w:rPr>
          <w:rFonts w:ascii="Calibri" w:cs="Calibri" w:eastAsia="Calibri" w:hAnsi="Calibri"/>
          <w:b w:val="false"/>
          <w:bCs w:val="false"/>
          <w:color w:val="2B2B2B"/>
          <w:sz w:val="22"/>
          <w:szCs w:val="22"/>
        </w:rPr>
        <w:t xml:space="preserve">Verificar que la recuperación por similitud de coseno (pgvector, operador &lt;=&gt;) devuelve los resultados en el orden esperado según cercanía semántica real.</w:t>
      </w:r>
    </w:p>
    <w:p>
      <w:pPr>
        <w:pStyle w:val="ListParagraph"/>
        <w:numPr>
          <w:ilvl w:val="0"/>
          <w:numId w:val="2"/>
        </w:numPr>
        <w:spacing w:after="80"/>
      </w:pPr>
      <w:r>
        <w:rPr>
          <w:rFonts w:ascii="Calibri" w:cs="Calibri" w:eastAsia="Calibri" w:hAnsi="Calibri"/>
          <w:b w:val="false"/>
          <w:bCs w:val="false"/>
          <w:color w:val="2B2B2B"/>
          <w:sz w:val="22"/>
          <w:szCs w:val="22"/>
        </w:rPr>
        <w:t xml:space="preserve">Verificar que la normalización de webhooks (Jira, GitHub, Help, Corestream) produce tickets internos consistentes y maneja payloads inválidos sin propagar errores al proveedor.</w:t>
      </w:r>
    </w:p>
    <w:p>
      <w:pPr>
        <w:pStyle w:val="ListParagraph"/>
        <w:numPr>
          <w:ilvl w:val="0"/>
          <w:numId w:val="2"/>
        </w:numPr>
        <w:spacing w:after="80"/>
      </w:pPr>
      <w:r>
        <w:rPr>
          <w:rFonts w:ascii="Calibri" w:cs="Calibri" w:eastAsia="Calibri" w:hAnsi="Calibri"/>
          <w:b w:val="false"/>
          <w:bCs w:val="false"/>
          <w:color w:val="2B2B2B"/>
          <w:sz w:val="22"/>
          <w:szCs w:val="22"/>
        </w:rPr>
        <w:t xml:space="preserve">Confirmar que los defectos detectados se registran, priorizan y re-prueban antes del cierre del ticket correspondiente en Jira.</w:t>
      </w:r>
    </w:p>
    <w:p>
      <w:pPr>
        <w:pStyle w:val="Heading1"/>
        <w:pBdr>
          <w:bottom w:val="single" w:color="1E2761" w:sz="12" w:space="4"/>
        </w:pBdr>
        <w:spacing w:after="160" w:before="360"/>
      </w:pPr>
      <w:r>
        <w:rPr>
          <w:rFonts w:ascii="Cambria" w:cs="Cambria" w:eastAsia="Cambria" w:hAnsi="Cambria"/>
          <w:b/>
          <w:bCs/>
          <w:color w:val="1E2761"/>
          <w:sz w:val="30"/>
          <w:szCs w:val="30"/>
        </w:rPr>
        <w:t xml:space="preserve">3. Alcance</w:t>
      </w:r>
    </w:p>
    <w:p>
      <w:pPr>
        <w:pStyle w:val="Heading2"/>
        <w:spacing w:after="120" w:before="260"/>
      </w:pPr>
      <w:r>
        <w:rPr>
          <w:rFonts w:ascii="Cambria" w:cs="Cambria" w:eastAsia="Cambria" w:hAnsi="Cambria"/>
          <w:b/>
          <w:bCs/>
          <w:color w:val="121A47"/>
          <w:sz w:val="24"/>
          <w:szCs w:val="24"/>
        </w:rPr>
        <w:t xml:space="preserve">3.1 Incluido en el alcance</w:t>
      </w:r>
    </w:p>
    <w:p>
      <w:pPr>
        <w:pStyle w:val="ListParagraph"/>
        <w:numPr>
          <w:ilvl w:val="0"/>
          <w:numId w:val="2"/>
        </w:numPr>
        <w:spacing w:after="80"/>
      </w:pPr>
      <w:r>
        <w:rPr>
          <w:rFonts w:ascii="Calibri" w:cs="Calibri" w:eastAsia="Calibri" w:hAnsi="Calibri"/>
          <w:b w:val="false"/>
          <w:bCs w:val="false"/>
          <w:color w:val="2B2B2B"/>
          <w:sz w:val="22"/>
          <w:szCs w:val="22"/>
        </w:rPr>
        <w:t xml:space="preserve">Capa vectorial (packages/core/kallicode_core/vectores.py): upserts idempotentes sobre vec.ticket_embeddings y vec.definition_embeddings.</w:t>
      </w:r>
    </w:p>
    <w:p>
      <w:pPr>
        <w:pStyle w:val="ListParagraph"/>
        <w:numPr>
          <w:ilvl w:val="0"/>
          <w:numId w:val="2"/>
        </w:numPr>
        <w:spacing w:after="80"/>
      </w:pPr>
      <w:r>
        <w:rPr>
          <w:rFonts w:ascii="Calibri" w:cs="Calibri" w:eastAsia="Calibri" w:hAnsi="Calibri"/>
          <w:b w:val="false"/>
          <w:bCs w:val="false"/>
          <w:color w:val="2B2B2B"/>
          <w:sz w:val="22"/>
          <w:szCs w:val="22"/>
        </w:rPr>
        <w:t xml:space="preserve">Aislamiento multi-tenant por Row-Level Security sobre los esquemas core, cm, vec y audit.</w:t>
      </w:r>
    </w:p>
    <w:p>
      <w:pPr>
        <w:pStyle w:val="ListParagraph"/>
        <w:numPr>
          <w:ilvl w:val="0"/>
          <w:numId w:val="2"/>
        </w:numPr>
        <w:spacing w:after="80"/>
      </w:pPr>
      <w:r>
        <w:rPr>
          <w:rFonts w:ascii="Calibri" w:cs="Calibri" w:eastAsia="Calibri" w:hAnsi="Calibri"/>
          <w:b w:val="false"/>
          <w:bCs w:val="false"/>
          <w:color w:val="2B2B2B"/>
          <w:sz w:val="22"/>
          <w:szCs w:val="22"/>
        </w:rPr>
        <w:t xml:space="preserve">Recall semántico mediante distancia de coseno (pgvector) sobre embeddings BGE-M3.</w:t>
      </w:r>
    </w:p>
    <w:p>
      <w:pPr>
        <w:pStyle w:val="ListParagraph"/>
        <w:numPr>
          <w:ilvl w:val="0"/>
          <w:numId w:val="2"/>
        </w:numPr>
        <w:spacing w:after="80"/>
      </w:pPr>
      <w:r>
        <w:rPr>
          <w:rFonts w:ascii="Calibri" w:cs="Calibri" w:eastAsia="Calibri" w:hAnsi="Calibri"/>
          <w:b w:val="false"/>
          <w:bCs w:val="false"/>
          <w:color w:val="2B2B2B"/>
          <w:sz w:val="22"/>
          <w:szCs w:val="22"/>
        </w:rPr>
        <w:t xml:space="preserve">Normalización de entrada (apps/workers/kallicode_workers/normalizer.py) para los conectores Jira, GitHub, Help y Corestream.</w:t>
      </w:r>
    </w:p>
    <w:p>
      <w:pPr>
        <w:pStyle w:val="ListParagraph"/>
        <w:numPr>
          <w:ilvl w:val="0"/>
          <w:numId w:val="2"/>
        </w:numPr>
        <w:spacing w:after="80"/>
      </w:pPr>
      <w:r>
        <w:rPr>
          <w:rFonts w:ascii="Calibri" w:cs="Calibri" w:eastAsia="Calibri" w:hAnsi="Calibri"/>
          <w:b w:val="false"/>
          <w:bCs w:val="false"/>
          <w:color w:val="2B2B2B"/>
          <w:sz w:val="22"/>
          <w:szCs w:val="22"/>
        </w:rPr>
        <w:t xml:space="preserve">Pruebas de regresión sobre la suite existente del monorepo (packages/core, apps/workers) para detectar efectos colaterales de cada cambio.</w:t>
      </w:r>
    </w:p>
    <w:p>
      <w:pPr>
        <w:pStyle w:val="Heading2"/>
        <w:spacing w:after="120" w:before="260"/>
      </w:pPr>
      <w:r>
        <w:rPr>
          <w:rFonts w:ascii="Cambria" w:cs="Cambria" w:eastAsia="Cambria" w:hAnsi="Cambria"/>
          <w:b/>
          <w:bCs/>
          <w:color w:val="121A47"/>
          <w:sz w:val="24"/>
          <w:szCs w:val="24"/>
        </w:rPr>
        <w:t xml:space="preserve">3.2 Fuera del alcance de este plan</w:t>
      </w:r>
    </w:p>
    <w:p>
      <w:pPr>
        <w:pStyle w:val="ListParagraph"/>
        <w:numPr>
          <w:ilvl w:val="0"/>
          <w:numId w:val="2"/>
        </w:numPr>
        <w:spacing w:after="80"/>
      </w:pPr>
      <w:r>
        <w:rPr>
          <w:rFonts w:ascii="Calibri" w:cs="Calibri" w:eastAsia="Calibri" w:hAnsi="Calibri"/>
          <w:b w:val="false"/>
          <w:bCs w:val="false"/>
          <w:color w:val="2B2B2B"/>
          <w:sz w:val="22"/>
          <w:szCs w:val="22"/>
        </w:rPr>
        <w:t xml:space="preserve">Pruebas de carga / rendimiento a gran escala del orquestador Redis Streams (se evaluarán en una fase posterior).</w:t>
      </w:r>
    </w:p>
    <w:p>
      <w:pPr>
        <w:pStyle w:val="ListParagraph"/>
        <w:numPr>
          <w:ilvl w:val="0"/>
          <w:numId w:val="2"/>
        </w:numPr>
        <w:spacing w:after="80"/>
      </w:pPr>
      <w:r>
        <w:rPr>
          <w:rFonts w:ascii="Calibri" w:cs="Calibri" w:eastAsia="Calibri" w:hAnsi="Calibri"/>
          <w:b w:val="false"/>
          <w:bCs w:val="false"/>
          <w:color w:val="2B2B2B"/>
          <w:sz w:val="22"/>
          <w:szCs w:val="22"/>
        </w:rPr>
        <w:t xml:space="preserve">Pruebas de la interfaz de usuario final (fuera del alcance del equipo de backend/datos).</w:t>
      </w:r>
    </w:p>
    <w:p>
      <w:pPr>
        <w:pStyle w:val="ListParagraph"/>
        <w:numPr>
          <w:ilvl w:val="0"/>
          <w:numId w:val="2"/>
        </w:numPr>
        <w:spacing w:after="80"/>
      </w:pPr>
      <w:r>
        <w:rPr>
          <w:rFonts w:ascii="Calibri" w:cs="Calibri" w:eastAsia="Calibri" w:hAnsi="Calibri"/>
          <w:b w:val="false"/>
          <w:bCs w:val="false"/>
          <w:color w:val="2B2B2B"/>
          <w:sz w:val="22"/>
          <w:szCs w:val="22"/>
        </w:rPr>
        <w:t xml:space="preserve">Módulos marcados como en desarrollo por otros integrantes y no integrados aún a la rama principal (p. ej. ajustes pendientes de config.py del área CodeMapping).</w:t>
      </w:r>
    </w:p>
    <w:p>
      <w:pPr>
        <w:pStyle w:val="Heading1"/>
        <w:pBdr>
          <w:bottom w:val="single" w:color="1E2761" w:sz="12" w:space="4"/>
        </w:pBdr>
        <w:spacing w:after="160" w:before="360"/>
      </w:pPr>
      <w:r>
        <w:rPr>
          <w:rFonts w:ascii="Cambria" w:cs="Cambria" w:eastAsia="Cambria" w:hAnsi="Cambria"/>
          <w:b/>
          <w:bCs/>
          <w:color w:val="1E2761"/>
          <w:sz w:val="30"/>
          <w:szCs w:val="30"/>
        </w:rPr>
        <w:t xml:space="preserve">4. Estrategia de pruebas</w:t>
      </w:r>
    </w:p>
    <w:p>
      <w:pPr>
        <w:pStyle w:val="Heading2"/>
        <w:spacing w:after="120" w:before="260"/>
      </w:pPr>
      <w:r>
        <w:rPr>
          <w:rFonts w:ascii="Cambria" w:cs="Cambria" w:eastAsia="Cambria" w:hAnsi="Cambria"/>
          <w:b/>
          <w:bCs/>
          <w:color w:val="121A47"/>
          <w:sz w:val="24"/>
          <w:szCs w:val="24"/>
        </w:rPr>
        <w:t xml:space="preserve">4.1 Niveles de prueba</w:t>
      </w:r>
    </w:p>
    <w:tbl>
      <w:tblPr>
        <w:tblW w:type="dxa" w:w="9600"/>
        <w:tblBorders>
          <w:top w:val="single" w:color="C9CCDB" w:sz="4"/>
          <w:left w:val="single" w:color="C9CCDB" w:sz="4"/>
          <w:bottom w:val="single" w:color="C9CCDB" w:sz="4"/>
          <w:right w:val="single" w:color="C9CCDB" w:sz="4"/>
          <w:insideH w:val="single" w:color="C9CCDB" w:sz="4"/>
          <w:insideV w:val="single" w:color="C9CCDB" w:sz="4"/>
        </w:tblBorders>
      </w:tblPr>
      <w:tblGrid>
        <w:gridCol w:w="2000"/>
        <w:gridCol w:w="5400"/>
        <w:gridCol w:w="2200"/>
      </w:tblGrid>
      <w:tr>
        <w:trPr>
          <w:tblHeader/>
        </w:trPr>
        <w:tc>
          <w:tcPr>
            <w:tcW w:type="dxa" w:w="20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Nivel</w:t>
            </w:r>
          </w:p>
        </w:tc>
        <w:tc>
          <w:tcPr>
            <w:tcW w:type="dxa" w:w="54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Descripción</w:t>
            </w:r>
          </w:p>
        </w:tc>
        <w:tc>
          <w:tcPr>
            <w:tcW w:type="dxa" w:w="22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Herramienta</w:t>
            </w:r>
          </w:p>
        </w:tc>
      </w:tr>
      <w:tr>
        <w:tc>
          <w:tcPr>
            <w:tcW w:type="dxa" w:w="2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Unitarias</w:t>
            </w:r>
          </w:p>
        </w:tc>
        <w:tc>
          <w:tcPr>
            <w:tcW w:type="dxa" w:w="5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Funciones puras y helpers (hashing, normalizadores por proveedor, cálculo de vectores).</w:t>
            </w:r>
          </w:p>
        </w:tc>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pytest</w:t>
            </w:r>
          </w:p>
        </w:tc>
      </w:tr>
      <w:tr>
        <w:tc>
          <w:tcPr>
            <w:tcW w:type="dxa" w:w="2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Integración</w:t>
            </w:r>
          </w:p>
        </w:tc>
        <w:tc>
          <w:tcPr>
            <w:tcW w:type="dxa" w:w="54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Interacción real con Postgres/pgvector bajo un rol de login con RLS activo (kallicode_dev), sin bypass de superusuario.</w:t>
            </w:r>
          </w:p>
        </w:tc>
        <w:tc>
          <w:tcPr>
            <w:tcW w:type="dxa" w:w="2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pytest + pytest-anyio + SQLAlchemy async</w:t>
            </w:r>
          </w:p>
        </w:tc>
      </w:tr>
      <w:tr>
        <w:tc>
          <w:tcPr>
            <w:tcW w:type="dxa" w:w="2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Contrato / regresión</w:t>
            </w:r>
          </w:p>
        </w:tc>
        <w:tc>
          <w:tcPr>
            <w:tcW w:type="dxa" w:w="5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Suite completa del monorepo para detectar efectos colaterales en otros módulos tras cada cambio.</w:t>
            </w:r>
          </w:p>
        </w:tc>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uv run pytest (workspace completo)</w:t>
            </w:r>
          </w:p>
        </w:tc>
      </w:tr>
      <w:tr>
        <w:tc>
          <w:tcPr>
            <w:tcW w:type="dxa" w:w="2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Exploratoria / manual</w:t>
            </w:r>
          </w:p>
        </w:tc>
        <w:tc>
          <w:tcPr>
            <w:tcW w:type="dxa" w:w="54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Verificación manual del flujo en el stack local (Docker Compose) antes de cada entrega de ticket.</w:t>
            </w:r>
          </w:p>
        </w:tc>
        <w:tc>
          <w:tcPr>
            <w:tcW w:type="dxa" w:w="2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Docker Compose + psql + GitHub Desktop</w:t>
            </w:r>
          </w:p>
        </w:tc>
      </w:tr>
    </w:tbl>
    <w:p>
      <w:pPr>
        <w:pStyle w:val="Heading2"/>
        <w:spacing w:after="120" w:before="260"/>
      </w:pPr>
      <w:r>
        <w:rPr>
          <w:rFonts w:ascii="Cambria" w:cs="Cambria" w:eastAsia="Cambria" w:hAnsi="Cambria"/>
          <w:b/>
          <w:bCs/>
          <w:color w:val="121A47"/>
          <w:sz w:val="24"/>
          <w:szCs w:val="24"/>
        </w:rPr>
        <w:t xml:space="preserve">4.2 Tipos de prueba cubiertos</w:t>
      </w:r>
    </w:p>
    <w:p>
      <w:pPr>
        <w:pStyle w:val="ListParagraph"/>
        <w:numPr>
          <w:ilvl w:val="0"/>
          <w:numId w:val="2"/>
        </w:numPr>
        <w:spacing w:after="80"/>
      </w:pPr>
      <w:r>
        <w:rPr>
          <w:rFonts w:ascii="Calibri" w:cs="Calibri" w:eastAsia="Calibri" w:hAnsi="Calibri"/>
          <w:b w:val="false"/>
          <w:bCs w:val="false"/>
          <w:color w:val="2B2B2B"/>
          <w:sz w:val="22"/>
          <w:szCs w:val="22"/>
        </w:rPr>
        <w:t xml:space="preserve">Pruebas de aislamiento (seguridad multi-tenant): confirman que RLS bloquea lectura y escritura cruzada entre organizaciones.</w:t>
      </w:r>
    </w:p>
    <w:p>
      <w:pPr>
        <w:pStyle w:val="ListParagraph"/>
        <w:numPr>
          <w:ilvl w:val="0"/>
          <w:numId w:val="2"/>
        </w:numPr>
        <w:spacing w:after="80"/>
      </w:pPr>
      <w:r>
        <w:rPr>
          <w:rFonts w:ascii="Calibri" w:cs="Calibri" w:eastAsia="Calibri" w:hAnsi="Calibri"/>
          <w:b w:val="false"/>
          <w:bCs w:val="false"/>
          <w:color w:val="2B2B2B"/>
          <w:sz w:val="22"/>
          <w:szCs w:val="22"/>
        </w:rPr>
        <w:t xml:space="preserve">Pruebas de recall (calidad semántica): confirman el orden de resultados por similitud de coseno frente a un vector de consulta.</w:t>
      </w:r>
    </w:p>
    <w:p>
      <w:pPr>
        <w:pStyle w:val="ListParagraph"/>
        <w:numPr>
          <w:ilvl w:val="0"/>
          <w:numId w:val="2"/>
        </w:numPr>
        <w:spacing w:after="80"/>
      </w:pPr>
      <w:r>
        <w:rPr>
          <w:rFonts w:ascii="Calibri" w:cs="Calibri" w:eastAsia="Calibri" w:hAnsi="Calibri"/>
          <w:b w:val="false"/>
          <w:bCs w:val="false"/>
          <w:color w:val="2B2B2B"/>
          <w:sz w:val="22"/>
          <w:szCs w:val="22"/>
        </w:rPr>
        <w:t xml:space="preserve">Pruebas de idempotencia: confirman que reinsertar contenido idéntico no duplica ni reescribe, y que contenido distinto sí actualiza.</w:t>
      </w:r>
    </w:p>
    <w:p>
      <w:pPr>
        <w:pStyle w:val="ListParagraph"/>
        <w:numPr>
          <w:ilvl w:val="0"/>
          <w:numId w:val="2"/>
        </w:numPr>
        <w:spacing w:after="80"/>
      </w:pPr>
      <w:r>
        <w:rPr>
          <w:rFonts w:ascii="Calibri" w:cs="Calibri" w:eastAsia="Calibri" w:hAnsi="Calibri"/>
          <w:b w:val="false"/>
          <w:bCs w:val="false"/>
          <w:color w:val="2B2B2B"/>
          <w:sz w:val="22"/>
          <w:szCs w:val="22"/>
        </w:rPr>
        <w:t xml:space="preserve">Pruebas de normalización: confirman el mapeo correcto payload→ticket interno y el manejo de eventos ignorados o payloads inválidos.</w:t>
      </w:r>
    </w:p>
    <w:p>
      <w:pPr>
        <w:pStyle w:val="Heading2"/>
        <w:spacing w:after="120" w:before="260"/>
      </w:pPr>
      <w:r>
        <w:rPr>
          <w:rFonts w:ascii="Cambria" w:cs="Cambria" w:eastAsia="Cambria" w:hAnsi="Cambria"/>
          <w:b/>
          <w:bCs/>
          <w:color w:val="121A47"/>
          <w:sz w:val="24"/>
          <w:szCs w:val="24"/>
        </w:rPr>
        <w:t xml:space="preserve">4.3 Hallazgo arquitectónico relevante para la estrategia</w:t>
      </w:r>
    </w:p>
    <w:p>
      <w:pPr>
        <w:spacing w:after="120" w:line="276"/>
      </w:pPr>
      <w:r>
        <w:rPr>
          <w:rFonts w:ascii="Calibri" w:cs="Calibri" w:eastAsia="Calibri" w:hAnsi="Calibri"/>
          <w:color w:val="2B2B2B"/>
          <w:sz w:val="22"/>
          <w:szCs w:val="22"/>
        </w:rPr>
        <w:t xml:space="preserve">Durante la implementación de KC-ONB-02-5 se confirmó que los roles kallicode_app y kallicode_admin definidos para RLS son roles de permisos sin privilegio de conexión (“Cannot login”), y que todo el entorno de desarrollo se conectaba como el superusuario postgres, el cual omite RLS por diseño de PostgreSQL (Bypass RLS). Esto significaba que ninguna prueba ejecutada contra ese usuario ejercitaba realmente las políticas de seguridad. La estrategia de pruebas de integración exige, en adelante, conectar con un rol de login dedicado sin bypass (seed db/seeds/dev_role.sql, rol kallicode_dev) para que las aserciones de aislamiento sean válidas.</w:t>
      </w:r>
    </w:p>
    <w:p>
      <w:pPr>
        <w:pStyle w:val="Heading1"/>
        <w:pBdr>
          <w:bottom w:val="single" w:color="1E2761" w:sz="12" w:space="4"/>
        </w:pBdr>
        <w:spacing w:after="160" w:before="360"/>
      </w:pPr>
      <w:r>
        <w:rPr>
          <w:rFonts w:ascii="Cambria" w:cs="Cambria" w:eastAsia="Cambria" w:hAnsi="Cambria"/>
          <w:b/>
          <w:bCs/>
          <w:color w:val="1E2761"/>
          <w:sz w:val="30"/>
          <w:szCs w:val="30"/>
        </w:rPr>
        <w:t xml:space="preserve">5. Ambiente de pruebas</w:t>
      </w:r>
    </w:p>
    <w:p>
      <w:pPr>
        <w:pStyle w:val="Heading2"/>
        <w:spacing w:after="120" w:before="260"/>
      </w:pPr>
      <w:r>
        <w:rPr>
          <w:rFonts w:ascii="Cambria" w:cs="Cambria" w:eastAsia="Cambria" w:hAnsi="Cambria"/>
          <w:b/>
          <w:bCs/>
          <w:color w:val="121A47"/>
          <w:sz w:val="24"/>
          <w:szCs w:val="24"/>
        </w:rPr>
        <w:t xml:space="preserve">5.1 Infraestructura local</w:t>
      </w:r>
    </w:p>
    <w:p>
      <w:pPr>
        <w:spacing w:after="120" w:line="276"/>
      </w:pPr>
      <w:r>
        <w:rPr>
          <w:rFonts w:ascii="Calibri" w:cs="Calibri" w:eastAsia="Calibri" w:hAnsi="Calibri"/>
          <w:color w:val="2B2B2B"/>
          <w:sz w:val="22"/>
          <w:szCs w:val="22"/>
        </w:rPr>
        <w:t xml:space="preserve">El ambiente de pruebas se levanta con Docker Compose e incluye los siguientes servicios: PostgreSQL 16 con la extensión pgvector (esquemas core, cm, vec y audit), Redis (Streams, utilizado como orquestador de colas), Azurite (emulador de almacenamiento), Mailpit (captura de correo saliente) y un servicio de embeddings (TEI) que sirve el modelo BGE-M3.</w:t>
      </w:r>
    </w:p>
    <w:p>
      <w:pPr>
        <w:pStyle w:val="Heading2"/>
        <w:spacing w:after="120" w:before="260"/>
      </w:pPr>
      <w:r>
        <w:rPr>
          <w:rFonts w:ascii="Cambria" w:cs="Cambria" w:eastAsia="Cambria" w:hAnsi="Cambria"/>
          <w:b/>
          <w:bCs/>
          <w:color w:val="121A47"/>
          <w:sz w:val="24"/>
          <w:szCs w:val="24"/>
        </w:rPr>
        <w:t xml:space="preserve">5.2 Dependencias de ejecución</w:t>
      </w:r>
    </w:p>
    <w:p>
      <w:pPr>
        <w:pStyle w:val="ListParagraph"/>
        <w:numPr>
          <w:ilvl w:val="0"/>
          <w:numId w:val="2"/>
        </w:numPr>
        <w:spacing w:after="80"/>
      </w:pPr>
      <w:r>
        <w:rPr>
          <w:rFonts w:ascii="Calibri" w:cs="Calibri" w:eastAsia="Calibri" w:hAnsi="Calibri"/>
          <w:b w:val="false"/>
          <w:bCs w:val="false"/>
          <w:color w:val="2B2B2B"/>
          <w:sz w:val="22"/>
          <w:szCs w:val="22"/>
        </w:rPr>
        <w:t xml:space="preserve">Python 3.12 gestionado con uv (monorepo workspace: packages/core, apps/workers, apps/api).</w:t>
      </w:r>
    </w:p>
    <w:p>
      <w:pPr>
        <w:pStyle w:val="ListParagraph"/>
        <w:numPr>
          <w:ilvl w:val="0"/>
          <w:numId w:val="2"/>
        </w:numPr>
        <w:spacing w:after="80"/>
      </w:pPr>
      <w:r>
        <w:rPr>
          <w:rFonts w:ascii="Calibri" w:cs="Calibri" w:eastAsia="Calibri" w:hAnsi="Calibri"/>
          <w:b w:val="false"/>
          <w:bCs w:val="false"/>
          <w:color w:val="2B2B2B"/>
          <w:sz w:val="22"/>
          <w:szCs w:val="22"/>
        </w:rPr>
        <w:t xml:space="preserve">pytest con el plugin pytest-anyio para pruebas asíncronas, y respx para mocks HTTP.</w:t>
      </w:r>
    </w:p>
    <w:p>
      <w:pPr>
        <w:pStyle w:val="ListParagraph"/>
        <w:numPr>
          <w:ilvl w:val="0"/>
          <w:numId w:val="2"/>
        </w:numPr>
        <w:spacing w:after="80"/>
      </w:pPr>
      <w:r>
        <w:rPr>
          <w:rFonts w:ascii="Calibri" w:cs="Calibri" w:eastAsia="Calibri" w:hAnsi="Calibri"/>
          <w:b w:val="false"/>
          <w:bCs w:val="false"/>
          <w:color w:val="2B2B2B"/>
          <w:sz w:val="22"/>
          <w:szCs w:val="22"/>
        </w:rPr>
        <w:t xml:space="preserve">SQLAlchemy (motor asíncrono, asyncpg) para la conexión a Postgres.</w:t>
      </w:r>
    </w:p>
    <w:p>
      <w:pPr>
        <w:pStyle w:val="ListParagraph"/>
        <w:numPr>
          <w:ilvl w:val="0"/>
          <w:numId w:val="2"/>
        </w:numPr>
        <w:spacing w:after="80"/>
      </w:pPr>
      <w:r>
        <w:rPr>
          <w:rFonts w:ascii="Calibri" w:cs="Calibri" w:eastAsia="Calibri" w:hAnsi="Calibri"/>
          <w:b w:val="false"/>
          <w:bCs w:val="false"/>
          <w:color w:val="2B2B2B"/>
          <w:sz w:val="22"/>
          <w:szCs w:val="22"/>
        </w:rPr>
        <w:t xml:space="preserve">Rol de base de datos kallicode_dev (LOGIN, hereda kallicode_app, sin Bypass RLS) para las pruebas de integración.</w:t>
      </w:r>
    </w:p>
    <w:p>
      <w:pPr>
        <w:pStyle w:val="Heading2"/>
        <w:spacing w:after="120" w:before="260"/>
      </w:pPr>
      <w:r>
        <w:rPr>
          <w:rFonts w:ascii="Cambria" w:cs="Cambria" w:eastAsia="Cambria" w:hAnsi="Cambria"/>
          <w:b/>
          <w:bCs/>
          <w:color w:val="121A47"/>
          <w:sz w:val="24"/>
          <w:szCs w:val="24"/>
        </w:rPr>
        <w:t xml:space="preserve">5.3 Datos de prueba</w:t>
      </w:r>
    </w:p>
    <w:p>
      <w:pPr>
        <w:spacing w:after="120" w:line="276"/>
      </w:pPr>
      <w:r>
        <w:rPr>
          <w:rFonts w:ascii="Calibri" w:cs="Calibri" w:eastAsia="Calibri" w:hAnsi="Calibri"/>
          <w:color w:val="2B2B2B"/>
          <w:sz w:val="22"/>
          <w:szCs w:val="22"/>
        </w:rPr>
        <w:t xml:space="preserve">Cada prueba de integración crea y elimina sus propios datos (organizaciones de prueba con prefijo org_test_, generadas con identificadores aleatorios) dentro de la misma ejecución, para no depender de datos persistentes ni de ejecuciones anteriores. Las fixtures se encargan del alta y baja de estos registros en core.organizations.</w:t>
      </w:r>
    </w:p>
    <w:p>
      <w:pPr>
        <w:pStyle w:val="Heading1"/>
        <w:pBdr>
          <w:bottom w:val="single" w:color="1E2761" w:sz="12" w:space="4"/>
        </w:pBdr>
        <w:spacing w:after="160" w:before="360"/>
      </w:pPr>
      <w:r>
        <w:rPr>
          <w:rFonts w:ascii="Cambria" w:cs="Cambria" w:eastAsia="Cambria" w:hAnsi="Cambria"/>
          <w:b/>
          <w:bCs/>
          <w:color w:val="1E2761"/>
          <w:sz w:val="30"/>
          <w:szCs w:val="30"/>
        </w:rPr>
        <w:t xml:space="preserve">6. Suite de referencia: capa vectorial (KC-ONB-02-5)</w:t>
      </w:r>
    </w:p>
    <w:p>
      <w:pPr>
        <w:spacing w:after="120" w:line="276"/>
      </w:pPr>
      <w:r>
        <w:rPr>
          <w:rFonts w:ascii="Calibri" w:cs="Calibri" w:eastAsia="Calibri" w:hAnsi="Calibri"/>
          <w:color w:val="2B2B2B"/>
          <w:sz w:val="22"/>
          <w:szCs w:val="22"/>
        </w:rPr>
        <w:t xml:space="preserve">La suite packages/core/test/test_vec_capa_vectorial.py es la referencia concreta de este plan: materializa los cuatro tipos de prueba descritos en la sección 4.2 sobre un componente real y crítico del sistema (la capa vectorial). El detalle caso por caso se documenta en el documento Casos de Prueba que acompaña a este plan.</w:t>
      </w:r>
    </w:p>
    <w:tbl>
      <w:tblPr>
        <w:tblW w:type="dxa" w:w="9600"/>
        <w:tblBorders>
          <w:top w:val="single" w:color="C9CCDB" w:sz="4"/>
          <w:left w:val="single" w:color="C9CCDB" w:sz="4"/>
          <w:bottom w:val="single" w:color="C9CCDB" w:sz="4"/>
          <w:right w:val="single" w:color="C9CCDB" w:sz="4"/>
          <w:insideH w:val="single" w:color="C9CCDB" w:sz="4"/>
          <w:insideV w:val="single" w:color="C9CCDB" w:sz="4"/>
        </w:tblBorders>
      </w:tblPr>
      <w:tblGrid>
        <w:gridCol w:w="3400"/>
        <w:gridCol w:w="1800"/>
        <w:gridCol w:w="4400"/>
      </w:tblGrid>
      <w:tr>
        <w:trPr>
          <w:tblHeader/>
        </w:trPr>
        <w:tc>
          <w:tcPr>
            <w:tcW w:type="dxa" w:w="34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Clase de prueba</w:t>
            </w:r>
          </w:p>
        </w:tc>
        <w:tc>
          <w:tcPr>
            <w:tcW w:type="dxa" w:w="18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N° de casos</w:t>
            </w:r>
          </w:p>
        </w:tc>
        <w:tc>
          <w:tcPr>
            <w:tcW w:type="dxa" w:w="44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Propiedad verificada</w:t>
            </w:r>
          </w:p>
        </w:tc>
      </w:tr>
      <w:tr>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TestAislamiento</w:t>
            </w:r>
          </w:p>
        </w:tc>
        <w:tc>
          <w:tcPr>
            <w:tcW w:type="dxa" w:w="1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2</w:t>
            </w:r>
          </w:p>
        </w:tc>
        <w:tc>
          <w:tcPr>
            <w:tcW w:type="dxa" w:w="4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RLS bloquea lectura y escritura cruzada entre tenants</w:t>
            </w:r>
          </w:p>
        </w:tc>
      </w:tr>
      <w:tr>
        <w:tc>
          <w:tcPr>
            <w:tcW w:type="dxa" w:w="34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TestRecall</w:t>
            </w:r>
          </w:p>
        </w:tc>
        <w:tc>
          <w:tcPr>
            <w:tcW w:type="dxa" w:w="1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1</w:t>
            </w:r>
          </w:p>
        </w:tc>
        <w:tc>
          <w:tcPr>
            <w:tcW w:type="dxa" w:w="44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Orden de resultados por similitud de coseno</w:t>
            </w:r>
          </w:p>
        </w:tc>
      </w:tr>
      <w:tr>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TestIdempotencia</w:t>
            </w:r>
          </w:p>
        </w:tc>
        <w:tc>
          <w:tcPr>
            <w:tcW w:type="dxa" w:w="18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2</w:t>
            </w:r>
          </w:p>
        </w:tc>
        <w:tc>
          <w:tcPr>
            <w:tcW w:type="dxa" w:w="4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Upsert no reescribe contenido sin cambios; sí actualiza contenido distinto</w:t>
            </w:r>
          </w:p>
        </w:tc>
      </w:tr>
    </w:tbl>
    <w:p>
      <w:pPr>
        <w:spacing w:after="120" w:line="276"/>
      </w:pPr>
      <w:r>
        <w:rPr>
          <w:rFonts w:ascii="Calibri" w:cs="Calibri" w:eastAsia="Calibri" w:hAnsi="Calibri"/>
          <w:color w:val="2B2B2B"/>
          <w:sz w:val="22"/>
          <w:szCs w:val="22"/>
        </w:rPr>
        <w:t xml:space="preserve">Resultado de la última ejecución registrada: </w:t>
      </w:r>
      <w:r>
        <w:rPr>
          <w:rFonts w:ascii="Calibri" w:cs="Calibri" w:eastAsia="Calibri" w:hAnsi="Calibri"/>
          <w:b/>
          <w:bCs/>
          <w:color w:val="1E2761"/>
          <w:sz w:val="22"/>
          <w:szCs w:val="22"/>
        </w:rPr>
        <w:t xml:space="preserve">5 passed in 1.60s</w:t>
      </w:r>
      <w:r>
        <w:rPr>
          <w:rFonts w:ascii="Calibri" w:cs="Calibri" w:eastAsia="Calibri" w:hAnsi="Calibri"/>
          <w:color w:val="2B2B2B"/>
          <w:sz w:val="22"/>
          <w:szCs w:val="22"/>
        </w:rPr>
        <w:t xml:space="preserve"> (ver evidencia en el documento de Resultados de las Pruebas).</w:t>
      </w:r>
    </w:p>
    <w:p>
      <w:pPr>
        <w:pStyle w:val="Heading1"/>
        <w:pBdr>
          <w:bottom w:val="single" w:color="1E2761" w:sz="12" w:space="4"/>
        </w:pBdr>
        <w:spacing w:after="160" w:before="360"/>
      </w:pPr>
      <w:r>
        <w:rPr>
          <w:rFonts w:ascii="Cambria" w:cs="Cambria" w:eastAsia="Cambria" w:hAnsi="Cambria"/>
          <w:b/>
          <w:bCs/>
          <w:color w:val="1E2761"/>
          <w:sz w:val="30"/>
          <w:szCs w:val="30"/>
        </w:rPr>
        <w:t xml:space="preserve">7. Criterios de entrada y salida</w:t>
      </w:r>
    </w:p>
    <w:p>
      <w:pPr>
        <w:pStyle w:val="Heading2"/>
        <w:spacing w:after="120" w:before="260"/>
      </w:pPr>
      <w:r>
        <w:rPr>
          <w:rFonts w:ascii="Cambria" w:cs="Cambria" w:eastAsia="Cambria" w:hAnsi="Cambria"/>
          <w:b/>
          <w:bCs/>
          <w:color w:val="121A47"/>
          <w:sz w:val="24"/>
          <w:szCs w:val="24"/>
        </w:rPr>
        <w:t xml:space="preserve">7.1 Criterios de entrada</w:t>
      </w:r>
    </w:p>
    <w:p>
      <w:pPr>
        <w:pStyle w:val="ListParagraph"/>
        <w:numPr>
          <w:ilvl w:val="0"/>
          <w:numId w:val="2"/>
        </w:numPr>
        <w:spacing w:after="80"/>
      </w:pPr>
      <w:r>
        <w:rPr>
          <w:rFonts w:ascii="Calibri" w:cs="Calibri" w:eastAsia="Calibri" w:hAnsi="Calibri"/>
          <w:b w:val="false"/>
          <w:bCs w:val="false"/>
          <w:color w:val="2B2B2B"/>
          <w:sz w:val="22"/>
          <w:szCs w:val="22"/>
        </w:rPr>
        <w:t xml:space="preserve">El ambiente Docker Compose está activo y los esquemas de base de datos (core, cm, vec, audit) aplicados.</w:t>
      </w:r>
    </w:p>
    <w:p>
      <w:pPr>
        <w:pStyle w:val="ListParagraph"/>
        <w:numPr>
          <w:ilvl w:val="0"/>
          <w:numId w:val="2"/>
        </w:numPr>
        <w:spacing w:after="80"/>
      </w:pPr>
      <w:r>
        <w:rPr>
          <w:rFonts w:ascii="Calibri" w:cs="Calibri" w:eastAsia="Calibri" w:hAnsi="Calibri"/>
          <w:b w:val="false"/>
          <w:bCs w:val="false"/>
          <w:color w:val="2B2B2B"/>
          <w:sz w:val="22"/>
          <w:szCs w:val="22"/>
        </w:rPr>
        <w:t xml:space="preserve">El rol kallicode_dev existe y hereda kallicode_app (seed db/seeds/dev_role.sql ejecutado).</w:t>
      </w:r>
    </w:p>
    <w:p>
      <w:pPr>
        <w:pStyle w:val="ListParagraph"/>
        <w:numPr>
          <w:ilvl w:val="0"/>
          <w:numId w:val="2"/>
        </w:numPr>
        <w:spacing w:after="80"/>
      </w:pPr>
      <w:r>
        <w:rPr>
          <w:rFonts w:ascii="Calibri" w:cs="Calibri" w:eastAsia="Calibri" w:hAnsi="Calibri"/>
          <w:b w:val="false"/>
          <w:bCs w:val="false"/>
          <w:color w:val="2B2B2B"/>
          <w:sz w:val="22"/>
          <w:szCs w:val="22"/>
        </w:rPr>
        <w:t xml:space="preserve">El código a probar está integrado en la rama de trabajo y sus dependencias declaradas en el pyproject.toml correspondiente.</w:t>
      </w:r>
    </w:p>
    <w:p>
      <w:pPr>
        <w:pStyle w:val="Heading2"/>
        <w:spacing w:after="120" w:before="260"/>
      </w:pPr>
      <w:r>
        <w:rPr>
          <w:rFonts w:ascii="Cambria" w:cs="Cambria" w:eastAsia="Cambria" w:hAnsi="Cambria"/>
          <w:b/>
          <w:bCs/>
          <w:color w:val="121A47"/>
          <w:sz w:val="24"/>
          <w:szCs w:val="24"/>
        </w:rPr>
        <w:t xml:space="preserve">7.2 Criterios de salida</w:t>
      </w:r>
    </w:p>
    <w:p>
      <w:pPr>
        <w:pStyle w:val="ListParagraph"/>
        <w:numPr>
          <w:ilvl w:val="0"/>
          <w:numId w:val="2"/>
        </w:numPr>
        <w:spacing w:after="80"/>
      </w:pPr>
      <w:r>
        <w:rPr>
          <w:rFonts w:ascii="Calibri" w:cs="Calibri" w:eastAsia="Calibri" w:hAnsi="Calibri"/>
          <w:b w:val="false"/>
          <w:bCs w:val="false"/>
          <w:color w:val="2B2B2B"/>
          <w:sz w:val="22"/>
          <w:szCs w:val="22"/>
        </w:rPr>
        <w:t xml:space="preserve">100% de los casos de prueba de la suite de referencia (sección 6) en estado PASSED.</w:t>
      </w:r>
    </w:p>
    <w:p>
      <w:pPr>
        <w:pStyle w:val="ListParagraph"/>
        <w:numPr>
          <w:ilvl w:val="0"/>
          <w:numId w:val="2"/>
        </w:numPr>
        <w:spacing w:after="80"/>
      </w:pPr>
      <w:r>
        <w:rPr>
          <w:rFonts w:ascii="Calibri" w:cs="Calibri" w:eastAsia="Calibri" w:hAnsi="Calibri"/>
          <w:b w:val="false"/>
          <w:bCs w:val="false"/>
          <w:color w:val="2B2B2B"/>
          <w:sz w:val="22"/>
          <w:szCs w:val="22"/>
        </w:rPr>
        <w:t xml:space="preserve">Ningún defecto abierto de severidad alta o crítica asociado al componente bajo prueba.</w:t>
      </w:r>
    </w:p>
    <w:p>
      <w:pPr>
        <w:pStyle w:val="ListParagraph"/>
        <w:numPr>
          <w:ilvl w:val="0"/>
          <w:numId w:val="2"/>
        </w:numPr>
        <w:spacing w:after="80"/>
      </w:pPr>
      <w:r>
        <w:rPr>
          <w:rFonts w:ascii="Calibri" w:cs="Calibri" w:eastAsia="Calibri" w:hAnsi="Calibri"/>
          <w:b w:val="false"/>
          <w:bCs w:val="false"/>
          <w:color w:val="2B2B2B"/>
          <w:sz w:val="22"/>
          <w:szCs w:val="22"/>
        </w:rPr>
        <w:t xml:space="preserve">La ejecución de la suite completa del workspace no introduce nuevas fallas respecto a la línea base (regresión).</w:t>
      </w:r>
    </w:p>
    <w:p>
      <w:pPr>
        <w:pStyle w:val="ListParagraph"/>
        <w:numPr>
          <w:ilvl w:val="0"/>
          <w:numId w:val="2"/>
        </w:numPr>
        <w:spacing w:after="80"/>
      </w:pPr>
      <w:r>
        <w:rPr>
          <w:rFonts w:ascii="Calibri" w:cs="Calibri" w:eastAsia="Calibri" w:hAnsi="Calibri"/>
          <w:b w:val="false"/>
          <w:bCs w:val="false"/>
          <w:color w:val="2B2B2B"/>
          <w:sz w:val="22"/>
          <w:szCs w:val="22"/>
        </w:rPr>
        <w:t xml:space="preserve">El ticket Jira correspondiente cuenta con evidencia de ejecución adjunta y ha sido movido a su estado de cierre (Listo / En revisión).</w:t>
      </w:r>
    </w:p>
    <w:p>
      <w:pPr>
        <w:pStyle w:val="Heading1"/>
        <w:pBdr>
          <w:bottom w:val="single" w:color="1E2761" w:sz="12" w:space="4"/>
        </w:pBdr>
        <w:spacing w:after="160" w:before="360"/>
      </w:pPr>
      <w:r>
        <w:rPr>
          <w:rFonts w:ascii="Cambria" w:cs="Cambria" w:eastAsia="Cambria" w:hAnsi="Cambria"/>
          <w:b/>
          <w:bCs/>
          <w:color w:val="1E2761"/>
          <w:sz w:val="30"/>
          <w:szCs w:val="30"/>
        </w:rPr>
        <w:t xml:space="preserve">8. Roles y responsabilidades</w:t>
      </w:r>
    </w:p>
    <w:tbl>
      <w:tblPr>
        <w:tblW w:type="dxa" w:w="8600"/>
        <w:tblBorders>
          <w:top w:val="single" w:color="C9CCDB" w:sz="4"/>
          <w:left w:val="single" w:color="C9CCDB" w:sz="4"/>
          <w:bottom w:val="single" w:color="C9CCDB" w:sz="4"/>
          <w:right w:val="single" w:color="C9CCDB" w:sz="4"/>
          <w:insideH w:val="single" w:color="C9CCDB" w:sz="4"/>
          <w:insideV w:val="single" w:color="C9CCDB" w:sz="4"/>
        </w:tblBorders>
      </w:tblPr>
      <w:tblGrid>
        <w:gridCol w:w="2000"/>
        <w:gridCol w:w="3000"/>
        <w:gridCol w:w="3600"/>
      </w:tblGrid>
      <w:tr>
        <w:trPr>
          <w:tblHeader/>
        </w:trPr>
        <w:tc>
          <w:tcPr>
            <w:tcW w:type="dxa" w:w="20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Integrante</w:t>
            </w:r>
          </w:p>
        </w:tc>
        <w:tc>
          <w:tcPr>
            <w:tcW w:type="dxa" w:w="30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Rol en el proyecto</w:t>
            </w:r>
          </w:p>
        </w:tc>
        <w:tc>
          <w:tcPr>
            <w:tcW w:type="dxa" w:w="36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Responsabilidad de pruebas</w:t>
            </w:r>
          </w:p>
        </w:tc>
      </w:tr>
      <w:tr>
        <w:tc>
          <w:tcPr>
            <w:tcW w:type="dxa" w:w="2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Iván Henríquez</w:t>
            </w:r>
          </w:p>
        </w:tc>
        <w:tc>
          <w:tcPr>
            <w:tcW w:type="dxa" w:w="3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Tech Lead · LLM / Semántica</w:t>
            </w:r>
          </w:p>
        </w:tc>
        <w:tc>
          <w:tcPr>
            <w:tcW w:type="dxa" w:w="3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Revisión técnica transversal; pruebas de los pasos LLM (triage.classify y catálogo de plantillas).</w:t>
            </w:r>
          </w:p>
        </w:tc>
      </w:tr>
      <w:tr>
        <w:tc>
          <w:tcPr>
            <w:tcW w:type="dxa" w:w="2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Mario García</w:t>
            </w:r>
          </w:p>
        </w:tc>
        <w:tc>
          <w:tcPr>
            <w:tcW w:type="dxa" w:w="3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Ingeniero de Plataforma · Orquestador y Consultas</w:t>
            </w:r>
          </w:p>
        </w:tc>
        <w:tc>
          <w:tcPr>
            <w:tcW w:type="dxa" w:w="36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Pruebas del orquestador FSM (16 etapas) y de las consultas de negocio.</w:t>
            </w:r>
          </w:p>
        </w:tc>
      </w:tr>
      <w:tr>
        <w:tc>
          <w:tcPr>
            <w:tcW w:type="dxa" w:w="2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Anderson González</w:t>
            </w:r>
          </w:p>
        </w:tc>
        <w:tc>
          <w:tcPr>
            <w:tcW w:type="dxa" w:w="3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Arquitecto de BD · Seguridad y RLS</w:t>
            </w:r>
          </w:p>
        </w:tc>
        <w:tc>
          <w:tcPr>
            <w:tcW w:type="dxa" w:w="3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Diseño y verificación de las políticas RLS; pruebas de seguridad y aislamiento.</w:t>
            </w:r>
          </w:p>
        </w:tc>
      </w:tr>
      <w:tr>
        <w:tc>
          <w:tcPr>
            <w:tcW w:type="dxa" w:w="2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 Salinas</w:t>
            </w:r>
          </w:p>
        </w:tc>
        <w:tc>
          <w:tcPr>
            <w:tcW w:type="dxa" w:w="3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Ingeniero de Datos · Parsers e Ingesta AST</w:t>
            </w:r>
          </w:p>
        </w:tc>
        <w:tc>
          <w:tcPr>
            <w:tcW w:type="dxa" w:w="36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Pruebas de la capa vectorial, normalización de ingesta y parsers (este plan).</w:t>
            </w:r>
          </w:p>
        </w:tc>
      </w:tr>
    </w:tbl>
    <w:p>
      <w:pPr>
        <w:pStyle w:val="Heading1"/>
        <w:pBdr>
          <w:bottom w:val="single" w:color="1E2761" w:sz="12" w:space="4"/>
        </w:pBdr>
        <w:spacing w:after="160" w:before="360"/>
      </w:pPr>
      <w:r>
        <w:rPr>
          <w:rFonts w:ascii="Cambria" w:cs="Cambria" w:eastAsia="Cambria" w:hAnsi="Cambria"/>
          <w:b/>
          <w:bCs/>
          <w:color w:val="1E2761"/>
          <w:sz w:val="30"/>
          <w:szCs w:val="30"/>
        </w:rPr>
        <w:t xml:space="preserve">9. Riesgos y supuestos</w:t>
      </w:r>
    </w:p>
    <w:p>
      <w:pPr>
        <w:pStyle w:val="Heading2"/>
        <w:spacing w:after="120" w:before="260"/>
      </w:pPr>
      <w:r>
        <w:rPr>
          <w:rFonts w:ascii="Cambria" w:cs="Cambria" w:eastAsia="Cambria" w:hAnsi="Cambria"/>
          <w:b/>
          <w:bCs/>
          <w:color w:val="121A47"/>
          <w:sz w:val="24"/>
          <w:szCs w:val="24"/>
        </w:rPr>
        <w:t xml:space="preserve">9.1 Riesgos identificados</w:t>
      </w:r>
    </w:p>
    <w:p>
      <w:pPr>
        <w:pStyle w:val="ListParagraph"/>
        <w:numPr>
          <w:ilvl w:val="0"/>
          <w:numId w:val="2"/>
        </w:numPr>
        <w:spacing w:after="80"/>
      </w:pPr>
      <w:r>
        <w:rPr>
          <w:rFonts w:ascii="Calibri" w:cs="Calibri" w:eastAsia="Calibri" w:hAnsi="Calibri"/>
          <w:b w:val="false"/>
          <w:bCs w:val="false"/>
          <w:color w:val="2B2B2B"/>
          <w:sz w:val="22"/>
          <w:szCs w:val="22"/>
        </w:rPr>
        <w:t xml:space="preserve">Conectar las pruebas con un usuario con privilegio de superusuario oculta fallas reales de RLS (mitigado con el rol kallicode_dev).</w:t>
      </w:r>
    </w:p>
    <w:p>
      <w:pPr>
        <w:pStyle w:val="ListParagraph"/>
        <w:numPr>
          <w:ilvl w:val="0"/>
          <w:numId w:val="2"/>
        </w:numPr>
        <w:spacing w:after="80"/>
      </w:pPr>
      <w:r>
        <w:rPr>
          <w:rFonts w:ascii="Calibri" w:cs="Calibri" w:eastAsia="Calibri" w:hAnsi="Calibri"/>
          <w:b w:val="false"/>
          <w:bCs w:val="false"/>
          <w:color w:val="2B2B2B"/>
          <w:sz w:val="22"/>
          <w:szCs w:val="22"/>
        </w:rPr>
        <w:t xml:space="preserve">Reutilizar motores de conexión asíncronos entre pruebas que corren en loops de evento distintos puede producir fallas intermitentes difíciles de diagnosticar (mitigado con una fixture autouse que libera los motores tras cada prueba).</w:t>
      </w:r>
    </w:p>
    <w:p>
      <w:pPr>
        <w:pStyle w:val="ListParagraph"/>
        <w:numPr>
          <w:ilvl w:val="0"/>
          <w:numId w:val="2"/>
        </w:numPr>
        <w:spacing w:after="80"/>
      </w:pPr>
      <w:r>
        <w:rPr>
          <w:rFonts w:ascii="Calibri" w:cs="Calibri" w:eastAsia="Calibri" w:hAnsi="Calibri"/>
          <w:b w:val="false"/>
          <w:bCs w:val="false"/>
          <w:color w:val="2B2B2B"/>
          <w:sz w:val="22"/>
          <w:szCs w:val="22"/>
        </w:rPr>
        <w:t xml:space="preserve">Módulos de otros integrantes todavía en desarrollo (p. ej. config.py del área CodeMapping) pueden mostrarse como fallas de regresión que no corresponden al cambio evaluado; se documentan y comunican al responsable en vez de modificarse unilateralmente.</w:t>
      </w:r>
    </w:p>
    <w:p>
      <w:pPr>
        <w:pStyle w:val="ListParagraph"/>
        <w:numPr>
          <w:ilvl w:val="0"/>
          <w:numId w:val="2"/>
        </w:numPr>
        <w:spacing w:after="80"/>
      </w:pPr>
      <w:r>
        <w:rPr>
          <w:rFonts w:ascii="Calibri" w:cs="Calibri" w:eastAsia="Calibri" w:hAnsi="Calibri"/>
          <w:b w:val="false"/>
          <w:bCs w:val="false"/>
          <w:color w:val="2B2B2B"/>
          <w:sz w:val="22"/>
          <w:szCs w:val="22"/>
        </w:rPr>
        <w:t xml:space="preserve">Dependencias faltantes en el entorno (p. ej. asyncpg, fastapi, hypothesis) pueden enmascarar pruebas como “omitidas” en lugar de “fallidas”, dando una falsa sensación de éxito.</w:t>
      </w:r>
    </w:p>
    <w:p>
      <w:pPr>
        <w:pStyle w:val="Heading2"/>
        <w:spacing w:after="120" w:before="260"/>
      </w:pPr>
      <w:r>
        <w:rPr>
          <w:rFonts w:ascii="Cambria" w:cs="Cambria" w:eastAsia="Cambria" w:hAnsi="Cambria"/>
          <w:b/>
          <w:bCs/>
          <w:color w:val="121A47"/>
          <w:sz w:val="24"/>
          <w:szCs w:val="24"/>
        </w:rPr>
        <w:t xml:space="preserve">9.2 Supuestos</w:t>
      </w:r>
    </w:p>
    <w:p>
      <w:pPr>
        <w:pStyle w:val="ListParagraph"/>
        <w:numPr>
          <w:ilvl w:val="0"/>
          <w:numId w:val="2"/>
        </w:numPr>
        <w:spacing w:after="80"/>
      </w:pPr>
      <w:r>
        <w:rPr>
          <w:rFonts w:ascii="Calibri" w:cs="Calibri" w:eastAsia="Calibri" w:hAnsi="Calibri"/>
          <w:b w:val="false"/>
          <w:bCs w:val="false"/>
          <w:color w:val="2B2B2B"/>
          <w:sz w:val="22"/>
          <w:szCs w:val="22"/>
        </w:rPr>
        <w:t xml:space="preserve">El ambiente de pruebas corre en local sobre Docker Desktop; no se asume un ambiente de integración continua compartido en esta fase.</w:t>
      </w:r>
    </w:p>
    <w:p>
      <w:pPr>
        <w:pStyle w:val="ListParagraph"/>
        <w:numPr>
          <w:ilvl w:val="0"/>
          <w:numId w:val="2"/>
        </w:numPr>
        <w:spacing w:after="80"/>
      </w:pPr>
      <w:r>
        <w:rPr>
          <w:rFonts w:ascii="Calibri" w:cs="Calibri" w:eastAsia="Calibri" w:hAnsi="Calibri"/>
          <w:b w:val="false"/>
          <w:bCs w:val="false"/>
          <w:color w:val="2B2B2B"/>
          <w:sz w:val="22"/>
          <w:szCs w:val="22"/>
        </w:rPr>
        <w:t xml:space="preserve">Los datos de prueba son sintéticos y se descartan al finalizar cada ejecución.</w:t>
      </w:r>
    </w:p>
    <w:p>
      <w:pPr>
        <w:pStyle w:val="Heading1"/>
        <w:pBdr>
          <w:bottom w:val="single" w:color="1E2761" w:sz="12" w:space="4"/>
        </w:pBdr>
        <w:spacing w:after="160" w:before="360"/>
      </w:pPr>
      <w:r>
        <w:rPr>
          <w:rFonts w:ascii="Cambria" w:cs="Cambria" w:eastAsia="Cambria" w:hAnsi="Cambria"/>
          <w:b/>
          <w:bCs/>
          <w:color w:val="1E2761"/>
          <w:sz w:val="30"/>
          <w:szCs w:val="30"/>
        </w:rPr>
        <w:t xml:space="preserve">10. Entregables de esta fase</w:t>
      </w:r>
    </w:p>
    <w:p>
      <w:pPr>
        <w:pStyle w:val="ListParagraph"/>
        <w:numPr>
          <w:ilvl w:val="0"/>
          <w:numId w:val="2"/>
        </w:numPr>
        <w:spacing w:after="80"/>
      </w:pPr>
      <w:r>
        <w:rPr>
          <w:rFonts w:ascii="Calibri" w:cs="Calibri" w:eastAsia="Calibri" w:hAnsi="Calibri"/>
          <w:b w:val="false"/>
          <w:bCs w:val="false"/>
          <w:color w:val="2B2B2B"/>
          <w:sz w:val="22"/>
          <w:szCs w:val="22"/>
        </w:rPr>
        <w:t xml:space="preserve">Plan de Pruebas (este documento).</w:t>
      </w:r>
    </w:p>
    <w:p>
      <w:pPr>
        <w:pStyle w:val="ListParagraph"/>
        <w:numPr>
          <w:ilvl w:val="0"/>
          <w:numId w:val="2"/>
        </w:numPr>
        <w:spacing w:after="80"/>
      </w:pPr>
      <w:r>
        <w:rPr>
          <w:rFonts w:ascii="Calibri" w:cs="Calibri" w:eastAsia="Calibri" w:hAnsi="Calibri"/>
          <w:b w:val="false"/>
          <w:bCs w:val="false"/>
          <w:color w:val="2B2B2B"/>
          <w:sz w:val="22"/>
          <w:szCs w:val="22"/>
        </w:rPr>
        <w:t xml:space="preserve">Casos de Prueba — detalle de cada caso con precondición, pasos y resultado esperado.</w:t>
      </w:r>
    </w:p>
    <w:p>
      <w:pPr>
        <w:pStyle w:val="ListParagraph"/>
        <w:numPr>
          <w:ilvl w:val="0"/>
          <w:numId w:val="2"/>
        </w:numPr>
        <w:spacing w:after="80"/>
      </w:pPr>
      <w:r>
        <w:rPr>
          <w:rFonts w:ascii="Calibri" w:cs="Calibri" w:eastAsia="Calibri" w:hAnsi="Calibri"/>
          <w:b w:val="false"/>
          <w:bCs w:val="false"/>
          <w:color w:val="2B2B2B"/>
          <w:sz w:val="22"/>
          <w:szCs w:val="22"/>
        </w:rPr>
        <w:t xml:space="preserve">Resultados de las Pruebas — evidencia de ejecución y trazabilidad a los tickets Jira.</w:t>
      </w:r>
    </w:p>
    <w:sectPr>
      <w:headerReference w:type="default" r:id="rId7"/>
      <w:footerReference w:type="default" r:id="rId8"/>
      <w:pgSz w:w="12240" w:h="15840" w:orient="portrait"/>
      <w:pgMar w:top="13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E96"/>
        <w:sz w:val="16"/>
        <w:szCs w:val="16"/>
      </w:rPr>
      <w:t xml:space="preserve">KalliCode Platform — Documento interno de equipo · Página </w:t>
    </w:r>
    <w:r>
      <w:rPr>
        <w:rFonts w:ascii="Calibri" w:cs="Calibri" w:eastAsia="Calibri" w:hAnsi="Calibri"/>
        <w:color w:val="7A7E96"/>
        <w:sz w:val="16"/>
        <w:szCs w:val="16"/>
      </w:rPr>
      <w:fldChar w:fldCharType="begin"/>
      <w:instrText xml:space="preserve">PAGE</w:instrText>
      <w:fldChar w:fldCharType="separate"/>
      <w:fldChar w:fldCharType="end"/>
    </w:r>
    <w:r>
      <w:rPr>
        <w:rFonts w:ascii="Calibri" w:cs="Calibri" w:eastAsia="Calibri" w:hAnsi="Calibri"/>
        <w:color w:val="7A7E96"/>
        <w:sz w:val="16"/>
        <w:szCs w:val="16"/>
      </w:rPr>
      <w:t xml:space="preserve"> de </w:t>
    </w:r>
    <w:r>
      <w:rPr>
        <w:rFonts w:ascii="Calibri" w:cs="Calibri" w:eastAsia="Calibri" w:hAnsi="Calibri"/>
        <w:color w:val="7A7E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57" w:sz="6" w:space="4"/>
      </w:pBdr>
      <w:jc w:val="right"/>
    </w:pPr>
    <w:r>
      <w:rPr>
        <w:rFonts w:ascii="Calibri" w:cs="Calibri" w:eastAsia="Calibri" w:hAnsi="Calibri"/>
        <w:b/>
        <w:bCs/>
        <w:color w:val="1E2761"/>
        <w:sz w:val="16"/>
        <w:szCs w:val="16"/>
      </w:rPr>
      <w:t xml:space="preserve">KalliCode Platform · Plan de Pruebas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Calibri" w:cs="Calibri" w:eastAsia="Calibri" w:hAnsi="Calibri"/>
        <w:color w:val="1E276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2026-10-10T01:08:20.618Z</dcterms:created>
  <dcterms:modified xsi:type="dcterms:W3CDTF">2026-10-10T01:08:20.628Z</dcterms:modified>
</cp:coreProperties>
</file>

<file path=docProps/custom.xml><?xml version="1.0" encoding="utf-8"?>
<Properties xmlns="http://schemas.openxmlformats.org/officeDocument/2006/custom-properties" xmlns:vt="http://schemas.openxmlformats.org/officeDocument/2006/docPropsVTypes"/>
</file>