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Resultados de las Pruebas</w:t>
      </w:r>
    </w:p>
    <w:p>
      <w:pPr>
        <w:spacing w:after="900"/>
        <w:jc w:val="center"/>
      </w:pPr>
      <w:r>
        <w:rPr>
          <w:rFonts w:ascii="Calibri" w:cs="Calibri" w:eastAsia="Calibri" w:hAnsi="Calibri"/>
          <w:i/>
          <w:iCs/>
          <w:color w:val="2B2B2B"/>
          <w:sz w:val="24"/>
          <w:szCs w:val="24"/>
        </w:rPr>
        <w:t xml:space="preserve">Evidencia de ejecución — ciclo de la capa vectorial (KC-ONB-02-5)</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 Portafolio de Título</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Resultados de las Pruebas</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Referencia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Plan de Pruebas v1.0 · Casos de Prueba v1.0 · Ticket Jira KC-ONB-02-5</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Ciclo de ejecución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Suite de aislamiento, recall e idempotencia — capa vectorial</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 de ejecución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07-10-2026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Ejecutado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Introducción</w:t>
      </w:r>
    </w:p>
    <w:p>
      <w:pPr>
        <w:spacing w:after="120" w:line="276"/>
      </w:pPr>
      <w:r>
        <w:rPr>
          <w:rFonts w:ascii="Calibri" w:cs="Calibri" w:eastAsia="Calibri" w:hAnsi="Calibri"/>
          <w:color w:val="2B2B2B"/>
          <w:sz w:val="22"/>
          <w:szCs w:val="22"/>
        </w:rPr>
        <w:t xml:space="preserve">Este documento registra los resultados de la ejecución de los casos de prueba definidos en el documento Casos de Prueba, sobre la suite automatizada packages/core/test/test_vec_capa_vectorial.py (ticket Jira KC-ONB-02-5 — “Suite de aislamiento, recall e idempotencia sobre la capa vectorial”). Incluye el resumen ejecutivo, el detalle por caso, los defectos detectados y corregidos durante el ciclo, y la evidencia de la ejecución final.</w:t>
      </w:r>
    </w:p>
    <w:p>
      <w:pPr>
        <w:pStyle w:val="Heading1"/>
        <w:pBdr>
          <w:bottom w:val="single" w:color="1E2761" w:sz="12" w:space="4"/>
        </w:pBdr>
        <w:spacing w:after="160" w:before="360"/>
      </w:pPr>
      <w:r>
        <w:rPr>
          <w:rFonts w:ascii="Cambria" w:cs="Cambria" w:eastAsia="Cambria" w:hAnsi="Cambria"/>
          <w:b/>
          <w:bCs/>
          <w:color w:val="1E2761"/>
          <w:sz w:val="30"/>
          <w:szCs w:val="30"/>
        </w:rPr>
        <w:t xml:space="preserve">2. Resumen ejecutivo</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4200"/>
        <w:gridCol w:w="4200"/>
      </w:tblGrid>
      <w:tr>
        <w:trPr>
          <w:tblHeader/>
        </w:trPr>
        <w:tc>
          <w:tcPr>
            <w:tcW w:type="dxa" w:w="4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Métrica</w:t>
            </w:r>
          </w:p>
        </w:tc>
        <w:tc>
          <w:tcPr>
            <w:tcW w:type="dxa" w:w="4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Valor</w:t>
            </w:r>
          </w:p>
        </w:tc>
      </w:tr>
      <w:tr>
        <w:tc>
          <w:tcPr>
            <w:tcW w:type="dxa" w:w="4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Casos planificados (suite automatizada)</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w:t>
            </w:r>
          </w:p>
        </w:tc>
      </w:tr>
      <w:tr>
        <w:tc>
          <w:tcPr>
            <w:tcW w:type="dxa" w:w="4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Casos ejecutados</w:t>
            </w:r>
          </w:p>
        </w:tc>
        <w:tc>
          <w:tcPr>
            <w:tcW w:type="dxa" w:w="4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w:t>
            </w:r>
          </w:p>
        </w:tc>
      </w:tr>
      <w:tr>
        <w:tc>
          <w:tcPr>
            <w:tcW w:type="dxa" w:w="4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Casos aprobados (PASSED)</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5</w:t>
            </w:r>
          </w:p>
        </w:tc>
      </w:tr>
      <w:tr>
        <w:tc>
          <w:tcPr>
            <w:tcW w:type="dxa" w:w="4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Casos fallidos</w:t>
            </w:r>
          </w:p>
        </w:tc>
        <w:tc>
          <w:tcPr>
            <w:tcW w:type="dxa" w:w="4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w:t>
            </w:r>
          </w:p>
        </w:tc>
      </w:tr>
      <w:tr>
        <w:tc>
          <w:tcPr>
            <w:tcW w:type="dxa" w:w="4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Casos omitidos (SKIPPED)</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w:t>
            </w:r>
          </w:p>
        </w:tc>
      </w:tr>
      <w:tr>
        <w:tc>
          <w:tcPr>
            <w:tcW w:type="dxa" w:w="4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Tasa de aprobación</w:t>
            </w:r>
          </w:p>
        </w:tc>
        <w:tc>
          <w:tcPr>
            <w:tcW w:type="dxa" w:w="4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100%</w:t>
            </w:r>
          </w:p>
        </w:tc>
      </w:tr>
      <w:tr>
        <w:tc>
          <w:tcPr>
            <w:tcW w:type="dxa" w:w="42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Tiempo total de ejecución</w:t>
            </w:r>
          </w:p>
        </w:tc>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1.60 s</w:t>
            </w:r>
          </w:p>
        </w:tc>
      </w:tr>
      <w:tr>
        <w:tc>
          <w:tcPr>
            <w:tcW w:type="dxa" w:w="42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Defectos detectados durante el ciclo</w:t>
            </w:r>
          </w:p>
        </w:tc>
        <w:tc>
          <w:tcPr>
            <w:tcW w:type="dxa" w:w="4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3 (los 3 corregidos antes del cierre)</w:t>
            </w:r>
          </w:p>
        </w:tc>
      </w:tr>
    </w:tbl>
    <w:p>
      <w:pPr>
        <w:spacing w:after="120" w:line="276"/>
      </w:pPr>
      <w:r>
        <w:rPr>
          <w:rFonts w:ascii="Calibri" w:cs="Calibri" w:eastAsia="Calibri" w:hAnsi="Calibri"/>
          <w:color w:val="2B2B2B"/>
          <w:sz w:val="22"/>
          <w:szCs w:val="22"/>
        </w:rPr>
        <w:t xml:space="preserve">El ciclo de pruebas no fue lineal: de las tres primeras ejecuciones registradas, dos expusieron fallas reales (una de seguridad y una de datos) y una expuso un defecto en la infraestructura de pruebas misma (reuso de motores asíncronos entre tests). Las tres causas raíz se investigaron, corrigieron y re-probaron antes de declarar el ciclo aprobado. El detalle está en la sección 4.</w:t>
      </w:r>
    </w:p>
    <w:p>
      <w:pPr>
        <w:pStyle w:val="Heading1"/>
        <w:pBdr>
          <w:bottom w:val="single" w:color="1E2761" w:sz="12" w:space="4"/>
        </w:pBdr>
        <w:spacing w:after="160" w:before="360"/>
      </w:pPr>
      <w:r>
        <w:rPr>
          <w:rFonts w:ascii="Cambria" w:cs="Cambria" w:eastAsia="Cambria" w:hAnsi="Cambria"/>
          <w:b/>
          <w:bCs/>
          <w:color w:val="1E2761"/>
          <w:sz w:val="30"/>
          <w:szCs w:val="30"/>
        </w:rPr>
        <w:t xml:space="preserve">3. Resultados por caso</w:t>
      </w:r>
    </w:p>
    <w:tbl>
      <w:tblPr>
        <w:tblW w:type="dxa" w:w="9400"/>
        <w:tblBorders>
          <w:top w:val="single" w:color="C9CCDB" w:sz="4"/>
          <w:left w:val="single" w:color="C9CCDB" w:sz="4"/>
          <w:bottom w:val="single" w:color="C9CCDB" w:sz="4"/>
          <w:right w:val="single" w:color="C9CCDB" w:sz="4"/>
          <w:insideH w:val="single" w:color="C9CCDB" w:sz="4"/>
          <w:insideV w:val="single" w:color="C9CCDB" w:sz="4"/>
        </w:tblBorders>
      </w:tblPr>
      <w:tblGrid>
        <w:gridCol w:w="1100"/>
        <w:gridCol w:w="3400"/>
        <w:gridCol w:w="1600"/>
        <w:gridCol w:w="3300"/>
      </w:tblGrid>
      <w:tr>
        <w:trPr>
          <w:tblHeader/>
        </w:trPr>
        <w:tc>
          <w:tcPr>
            <w:tcW w:type="dxa" w:w="1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3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Caso de prueba</w:t>
            </w:r>
          </w:p>
        </w:tc>
        <w:tc>
          <w:tcPr>
            <w:tcW w:type="dxa" w:w="1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Resultado</w:t>
            </w:r>
          </w:p>
        </w:tc>
        <w:tc>
          <w:tcPr>
            <w:tcW w:type="dxa" w:w="33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Observación</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CP-01</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Un tenant no ve definiciones embebidas de otro tenant</w:t>
            </w:r>
          </w:p>
        </w:tc>
        <w:tc>
          <w:tcPr>
            <w:tcW w:type="dxa" w:w="1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Aprobado</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RLS confirma 0 filas visibles entre tenants, usando el rol kallicode_dev (sin bypass).</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CP-02</w:t>
            </w:r>
          </w:p>
        </w:tc>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Un tenant no puede escribir forjando el tenant_id de otro</w:t>
            </w:r>
          </w:p>
        </w:tc>
        <w:tc>
          <w:tcPr>
            <w:tcW w:type="dxa" w:w="1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Aprobado</w:t>
            </w:r>
          </w:p>
        </w:tc>
        <w:tc>
          <w:tcPr>
            <w:tcW w:type="dxa" w:w="3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La política WITH CHECK de RLS rechaza la escritura con tenant_id forjado.</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CP-03</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orden de resultados por similitud de coseno es correcto</w:t>
            </w:r>
          </w:p>
        </w:tc>
        <w:tc>
          <w:tcPr>
            <w:tcW w:type="dxa" w:w="1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Aprobado</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Orden devuelto: validate_order → compute_tax → send_invoice_email, verificado matemáticamente antes de automatizar.</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CP-04</w:t>
            </w:r>
          </w:p>
        </w:tc>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Reinsertar contenido idéntico no duplica ni reescribe</w:t>
            </w:r>
          </w:p>
        </w:tc>
        <w:tc>
          <w:tcPr>
            <w:tcW w:type="dxa" w:w="1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Aprobado</w:t>
            </w:r>
          </w:p>
        </w:tc>
        <w:tc>
          <w:tcPr>
            <w:tcW w:type="dxa" w:w="3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Segunda llamada con mismo texto_hash devuelve False; una sola fila persiste.</w:t>
            </w:r>
          </w:p>
        </w:tc>
      </w:tr>
      <w:tr>
        <w:tc>
          <w:tcPr>
            <w:tcW w:type="dxa" w:w="1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CP-05</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Contenido distinto sí actualiza el embedding almacenado</w:t>
            </w:r>
          </w:p>
        </w:tc>
        <w:tc>
          <w:tcPr>
            <w:tcW w:type="dxa" w:w="1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Aprobado</w:t>
            </w:r>
          </w:p>
        </w:tc>
        <w:tc>
          <w:tcPr>
            <w:tcW w:type="dxa" w:w="3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Llamada con texto_hash distinto devuelve True y actualiza la fila existente.</w:t>
            </w:r>
          </w:p>
        </w:tc>
      </w:tr>
      <w:tr>
        <w:tc>
          <w:tcPr>
            <w:tcW w:type="dxa" w:w="1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CP-06 a CP-10</w:t>
            </w:r>
          </w:p>
        </w:tc>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Normalización de webhooks (Jira, GitHub, Help, CI) y resiliencia de triage</w:t>
            </w:r>
          </w:p>
        </w:tc>
        <w:tc>
          <w:tcPr>
            <w:tcW w:type="dxa" w:w="1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No ejecutado</w:t>
            </w:r>
          </w:p>
        </w:tc>
        <w:tc>
          <w:tcPr>
            <w:tcW w:type="dxa" w:w="3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Casos documentados pero aún sin automatizar (ver Casos de Prueba); no forman parte de este ciclo.</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4. Defectos detectados y resueltos durante el ciclo</w:t>
      </w:r>
    </w:p>
    <w:p>
      <w:pPr>
        <w:spacing w:after="120" w:line="276"/>
      </w:pPr>
      <w:r>
        <w:rPr>
          <w:rFonts w:ascii="Calibri" w:cs="Calibri" w:eastAsia="Calibri" w:hAnsi="Calibri"/>
          <w:color w:val="2B2B2B"/>
          <w:sz w:val="22"/>
          <w:szCs w:val="22"/>
        </w:rPr>
        <w:t xml:space="preserve">Los siguientes defectos se detectaron al ejecutar la suite contra una base de datos real (no estaban cubiertos por revisión de código). Se documentan porque forman parte de la evidencia de valor de este ciclo de pruebas: cada uno habría pasado inadvertido sin una ejecución real contra Postgres.</w:t>
      </w:r>
    </w:p>
    <w:tbl>
      <w:tblPr>
        <w:tblW w:type="dxa" w:w="10900"/>
        <w:tblBorders>
          <w:top w:val="single" w:color="C9CCDB" w:sz="4"/>
          <w:left w:val="single" w:color="C9CCDB" w:sz="4"/>
          <w:bottom w:val="single" w:color="C9CCDB" w:sz="4"/>
          <w:right w:val="single" w:color="C9CCDB" w:sz="4"/>
          <w:insideH w:val="single" w:color="C9CCDB" w:sz="4"/>
          <w:insideV w:val="single" w:color="C9CCDB" w:sz="4"/>
        </w:tblBorders>
      </w:tblPr>
      <w:tblGrid>
        <w:gridCol w:w="1000"/>
        <w:gridCol w:w="2900"/>
        <w:gridCol w:w="1000"/>
        <w:gridCol w:w="3000"/>
        <w:gridCol w:w="3000"/>
      </w:tblGrid>
      <w:tr>
        <w:trPr>
          <w:tblHeader/>
        </w:trPr>
        <w:tc>
          <w:tcPr>
            <w:tcW w:type="dxa" w:w="1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29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Defecto</w:t>
            </w:r>
          </w:p>
        </w:tc>
        <w:tc>
          <w:tcPr>
            <w:tcW w:type="dxa" w:w="1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Severidad</w:t>
            </w:r>
          </w:p>
        </w:tc>
        <w:tc>
          <w:tcPr>
            <w:tcW w:type="dxa" w:w="3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Causa raíz</w:t>
            </w:r>
          </w:p>
        </w:tc>
        <w:tc>
          <w:tcPr>
            <w:tcW w:type="dxa" w:w="3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Resolución</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DEF-01</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RLS no bloqueaba la lectura cruzada entre tenants en pruebas (CP-01 fallaba)</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Alta</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Las sesiones de prueba conectaban como el superusuario postgres, que tiene Bypass RLS por diseño de PostgreSQL; ningún rol de login sin ese privilegio existía en el entorno.</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 creó el seed db/seeds/dev_role.sql con el rol kallicode_dev (LOGIN, hereda kallicode_app, sin bypass) y se reescribió la fixture de sesión de prueba para usarlo.</w:t>
            </w:r>
          </w:p>
        </w:tc>
      </w:tr>
      <w:tr>
        <w:tc>
          <w:tcPr>
            <w:tcW w:type="dxa" w:w="10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DEF-02</w:t>
            </w:r>
          </w:p>
        </w:tc>
        <w:tc>
          <w:tcPr>
            <w:tcW w:type="dxa" w:w="29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orden de recall por similitud de coseno no coincidía con el esperado (CP-03 fallaba)</w:t>
            </w:r>
          </w:p>
        </w:tc>
        <w:tc>
          <w:tcPr>
            <w:tcW w:type="dxa" w:w="1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Media</w:t>
            </w:r>
          </w:p>
        </w:tc>
        <w:tc>
          <w:tcPr>
            <w:tcW w:type="dxa" w:w="3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El diseño original de los vectores de prueba (valores uniformes por escalar) producía, matemáticamente, una distancia de coseno distinta a la asumida en la aserción; se verificó con cálculo manual que pgvector devolvía el orden correcto para esos vectores — el defecto estaba en el diseño del caso de prueba, no en el sistema.</w:t>
            </w:r>
          </w:p>
        </w:tc>
        <w:tc>
          <w:tcPr>
            <w:tcW w:type="dxa" w:w="3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 rediseñaron los vectores de prueba con dos ejes direccionales (_vector_dir) que sí representan cercanía/lejanía de forma inequívoca, y se re-verificaron las distancias antes de fijar la aserción.</w:t>
            </w:r>
          </w:p>
        </w:tc>
      </w:tr>
      <w:tr>
        <w:tc>
          <w:tcPr>
            <w:tcW w:type="dxa" w:w="10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DEF-03</w:t>
            </w:r>
          </w:p>
        </w:tc>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Fallas intermitentes con advertencia “coroutine was never awaited”; pruebas alternaban PASSED/SKIPPED</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Media</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pytest-anyio crea un nuevo loop de eventos por test, mientras los motores asíncronos de SQLAlchemy se reutilizaban como singletons a nivel de módulo entre tests, causando reconexión sobre un loop cerrado.</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Se agregó una fixture autouse que libera (dispose) y limpia ambos motores asíncronos después de cada test, evitando el reuso entre loops de eventos.</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5. Evidencia de ejecución final</w:t>
      </w:r>
    </w:p>
    <w:p>
      <w:pPr>
        <w:spacing w:after="120" w:line="276"/>
      </w:pPr>
      <w:r>
        <w:rPr>
          <w:rFonts w:ascii="Calibri" w:cs="Calibri" w:eastAsia="Calibri" w:hAnsi="Calibri"/>
          <w:color w:val="2B2B2B"/>
          <w:sz w:val="22"/>
          <w:szCs w:val="22"/>
        </w:rPr>
        <w:t xml:space="preserve">Comando ejecutado y salida de la corrida final, tras aplicar las tres correcciones de la sección 4:</w:t>
      </w:r>
    </w:p>
    <w:p>
      <w:pPr>
        <w:shd w:fill="121A47" w:color="auto" w:val="clear"/>
        <w:spacing w:after="60" w:before="100"/>
      </w:pPr>
      <w:r>
        <w:rPr>
          <w:rFonts w:ascii="Consolas" w:cs="Consolas" w:eastAsia="Consolas" w:hAnsi="Consolas"/>
          <w:color w:val="E8EAF6"/>
          <w:sz w:val="18"/>
          <w:szCs w:val="18"/>
        </w:rPr>
        <w:t xml:space="preserve">PS&gt; uv run pytest packages/core/test/test_vec_capa_vectorial.py -v</w:t>
      </w:r>
    </w:p>
    <w:p>
      <w:pPr>
        <w:shd w:fill="121A47" w:color="auto" w:val="clear"/>
        <w:spacing w:after="0"/>
      </w:pPr>
      <w:r>
        <w:rPr>
          <w:rFonts w:ascii="Consolas" w:cs="Consolas" w:eastAsia="Consolas" w:hAnsi="Consolas"/>
          <w:color w:val="B7F7C8"/>
          <w:sz w:val="18"/>
          <w:szCs w:val="18"/>
        </w:rPr>
        <w:t xml:space="preserve">collected 5 items</w:t>
      </w:r>
    </w:p>
    <w:p>
      <w:pPr>
        <w:shd w:fill="121A47" w:color="auto" w:val="clear"/>
        <w:spacing w:after="0"/>
      </w:pPr>
      <w:r>
        <w:rPr>
          <w:rFonts w:ascii="Consolas" w:cs="Consolas" w:eastAsia="Consolas" w:hAnsi="Consolas"/>
          <w:color w:val="B7F7C8"/>
          <w:sz w:val="18"/>
          <w:szCs w:val="18"/>
        </w:rPr>
        <w:t xml:space="preserve"> </w:t>
      </w:r>
    </w:p>
    <w:p>
      <w:pPr>
        <w:shd w:fill="121A47" w:color="auto" w:val="clear"/>
        <w:spacing w:after="0"/>
      </w:pPr>
      <w:r>
        <w:rPr>
          <w:rFonts w:ascii="Consolas" w:cs="Consolas" w:eastAsia="Consolas" w:hAnsi="Consolas"/>
          <w:color w:val="B7F7C8"/>
          <w:sz w:val="18"/>
          <w:szCs w:val="18"/>
        </w:rPr>
        <w:t xml:space="preserve">TestAislamiento::test_tenant_no_ve_definiciones_de_otro_tenant[asyncio]        PASSED</w:t>
      </w:r>
    </w:p>
    <w:p>
      <w:pPr>
        <w:shd w:fill="121A47" w:color="auto" w:val="clear"/>
        <w:spacing w:after="0"/>
      </w:pPr>
      <w:r>
        <w:rPr>
          <w:rFonts w:ascii="Consolas" w:cs="Consolas" w:eastAsia="Consolas" w:hAnsi="Consolas"/>
          <w:color w:val="B7F7C8"/>
          <w:sz w:val="18"/>
          <w:szCs w:val="18"/>
        </w:rPr>
        <w:t xml:space="preserve">TestAislamiento::test_tenant_no_puede_escribir_con_tenant_id_ajeno[asyncio]    PASSED</w:t>
      </w:r>
    </w:p>
    <w:p>
      <w:pPr>
        <w:shd w:fill="121A47" w:color="auto" w:val="clear"/>
        <w:spacing w:after="0"/>
      </w:pPr>
      <w:r>
        <w:rPr>
          <w:rFonts w:ascii="Consolas" w:cs="Consolas" w:eastAsia="Consolas" w:hAnsi="Consolas"/>
          <w:color w:val="B7F7C8"/>
          <w:sz w:val="18"/>
          <w:szCs w:val="18"/>
        </w:rPr>
        <w:t xml:space="preserve">TestRecall::test_orden_por_similitud_coseno_es_correcto[asyncio]              PASSED</w:t>
      </w:r>
    </w:p>
    <w:p>
      <w:pPr>
        <w:shd w:fill="121A47" w:color="auto" w:val="clear"/>
        <w:spacing w:after="0"/>
      </w:pPr>
      <w:r>
        <w:rPr>
          <w:rFonts w:ascii="Consolas" w:cs="Consolas" w:eastAsia="Consolas" w:hAnsi="Consolas"/>
          <w:color w:val="B7F7C8"/>
          <w:sz w:val="18"/>
          <w:szCs w:val="18"/>
        </w:rPr>
        <w:t xml:space="preserve">TestIdempotencia::test_reinsertar_mismo_contenido_no_duplica[asyncio]         PASSED</w:t>
      </w:r>
    </w:p>
    <w:p>
      <w:pPr>
        <w:shd w:fill="121A47" w:color="auto" w:val="clear"/>
        <w:spacing w:after="0"/>
      </w:pPr>
      <w:r>
        <w:rPr>
          <w:rFonts w:ascii="Consolas" w:cs="Consolas" w:eastAsia="Consolas" w:hAnsi="Consolas"/>
          <w:color w:val="B7F7C8"/>
          <w:sz w:val="18"/>
          <w:szCs w:val="18"/>
        </w:rPr>
        <w:t xml:space="preserve">TestIdempotencia::test_contenido_distinto_si_actualiza[asyncio]               PASSED</w:t>
      </w:r>
    </w:p>
    <w:p>
      <w:pPr>
        <w:shd w:fill="121A47" w:color="auto" w:val="clear"/>
        <w:spacing w:after="0"/>
      </w:pPr>
      <w:r>
        <w:rPr>
          <w:rFonts w:ascii="Consolas" w:cs="Consolas" w:eastAsia="Consolas" w:hAnsi="Consolas"/>
          <w:color w:val="B7F7C8"/>
          <w:sz w:val="18"/>
          <w:szCs w:val="18"/>
        </w:rPr>
        <w:t xml:space="preserve"> </w:t>
      </w:r>
    </w:p>
    <w:p>
      <w:pPr>
        <w:shd w:fill="121A47" w:color="auto" w:val="clear"/>
        <w:spacing w:after="100"/>
      </w:pPr>
      <w:r>
        <w:rPr>
          <w:rFonts w:ascii="Consolas" w:cs="Consolas" w:eastAsia="Consolas" w:hAnsi="Consolas"/>
          <w:color w:val="B7F7C8"/>
          <w:sz w:val="18"/>
          <w:szCs w:val="18"/>
        </w:rPr>
        <w:t xml:space="preserve">========================= 5 passed in 1.60s =========================</w:t>
      </w:r>
    </w:p>
    <w:p>
      <w:pPr>
        <w:pStyle w:val="Heading2"/>
        <w:spacing w:after="120" w:before="260"/>
      </w:pPr>
      <w:r>
        <w:rPr>
          <w:rFonts w:ascii="Cambria" w:cs="Cambria" w:eastAsia="Cambria" w:hAnsi="Cambria"/>
          <w:b/>
          <w:bCs/>
          <w:color w:val="121A47"/>
          <w:sz w:val="24"/>
          <w:szCs w:val="24"/>
        </w:rPr>
        <w:t xml:space="preserve">5.1 Ambiente de la ejecución</w:t>
      </w:r>
    </w:p>
    <w:p>
      <w:pPr>
        <w:pStyle w:val="ListParagraph"/>
        <w:numPr>
          <w:ilvl w:val="0"/>
          <w:numId w:val="2"/>
        </w:numPr>
        <w:spacing w:after="80"/>
      </w:pPr>
      <w:r>
        <w:rPr>
          <w:rFonts w:ascii="Calibri" w:cs="Calibri" w:eastAsia="Calibri" w:hAnsi="Calibri"/>
          <w:b w:val="false"/>
          <w:bCs w:val="false"/>
          <w:color w:val="2B2B2B"/>
          <w:sz w:val="22"/>
          <w:szCs w:val="22"/>
        </w:rPr>
        <w:t xml:space="preserve">Sistema operativo: Windows (estación de trabajo local del equipo).</w:t>
      </w:r>
    </w:p>
    <w:p>
      <w:pPr>
        <w:pStyle w:val="ListParagraph"/>
        <w:numPr>
          <w:ilvl w:val="0"/>
          <w:numId w:val="2"/>
        </w:numPr>
        <w:spacing w:after="80"/>
      </w:pPr>
      <w:r>
        <w:rPr>
          <w:rFonts w:ascii="Calibri" w:cs="Calibri" w:eastAsia="Calibri" w:hAnsi="Calibri"/>
          <w:b w:val="false"/>
          <w:bCs w:val="false"/>
          <w:color w:val="2B2B2B"/>
          <w:sz w:val="22"/>
          <w:szCs w:val="22"/>
        </w:rPr>
        <w:t xml:space="preserve">Stack: Docker Compose (PostgreSQL 16 + pgvector, Redis, Azurite, Mailpit, servicio de embeddings TEI).</w:t>
      </w:r>
    </w:p>
    <w:p>
      <w:pPr>
        <w:pStyle w:val="ListParagraph"/>
        <w:numPr>
          <w:ilvl w:val="0"/>
          <w:numId w:val="2"/>
        </w:numPr>
        <w:spacing w:after="80"/>
      </w:pPr>
      <w:r>
        <w:rPr>
          <w:rFonts w:ascii="Calibri" w:cs="Calibri" w:eastAsia="Calibri" w:hAnsi="Calibri"/>
          <w:b w:val="false"/>
          <w:bCs w:val="false"/>
          <w:color w:val="2B2B2B"/>
          <w:sz w:val="22"/>
          <w:szCs w:val="22"/>
        </w:rPr>
        <w:t xml:space="preserve">Rol de base de datos usado en las pruebas: kallicode_dev (sin Bypass RLS).</w:t>
      </w:r>
    </w:p>
    <w:p>
      <w:pPr>
        <w:pStyle w:val="ListParagraph"/>
        <w:numPr>
          <w:ilvl w:val="0"/>
          <w:numId w:val="2"/>
        </w:numPr>
        <w:spacing w:after="80"/>
      </w:pPr>
      <w:r>
        <w:rPr>
          <w:rFonts w:ascii="Calibri" w:cs="Calibri" w:eastAsia="Calibri" w:hAnsi="Calibri"/>
          <w:b w:val="false"/>
          <w:bCs w:val="false"/>
          <w:color w:val="2B2B2B"/>
          <w:sz w:val="22"/>
          <w:szCs w:val="22"/>
        </w:rPr>
        <w:t xml:space="preserve">Runner: pytest 9.1.1 con pytest-anyio 4.15.0, sobre Python 3.12.10 (entorno gestionado con uv).</w:t>
      </w:r>
    </w:p>
    <w:p>
      <w:pPr>
        <w:pStyle w:val="Heading2"/>
        <w:spacing w:after="120" w:before="260"/>
      </w:pPr>
      <w:r>
        <w:rPr>
          <w:rFonts w:ascii="Cambria" w:cs="Cambria" w:eastAsia="Cambria" w:hAnsi="Cambria"/>
          <w:b/>
          <w:bCs/>
          <w:color w:val="121A47"/>
          <w:sz w:val="24"/>
          <w:szCs w:val="24"/>
        </w:rPr>
        <w:t xml:space="preserve">5.2 Regresión sobre el resto del monorepo</w:t>
      </w:r>
    </w:p>
    <w:p>
      <w:pPr>
        <w:spacing w:after="120" w:line="276"/>
      </w:pPr>
      <w:r>
        <w:rPr>
          <w:rFonts w:ascii="Calibri" w:cs="Calibri" w:eastAsia="Calibri" w:hAnsi="Calibri"/>
          <w:color w:val="2B2B2B"/>
          <w:sz w:val="22"/>
          <w:szCs w:val="22"/>
        </w:rPr>
        <w:t xml:space="preserve">Adicionalmente al ciclo de la capa vectorial, se ejecutó la suite completa del workspace (uv run pytest, excluyendo módulos con dependencias no instaladas en el entorno local) para confirmar que el cambio no introdujo regresiones: 39 pruebas aprobadas y 6 fallidas. Las 6 fallas se investigaron y se confirmó que son preexistentes y no relacionadas al cambio: 5 corresponden a packages/codemapping/tests/test_config.py (área de otro integrante del equipo, Iván Henríquez, con trabajo en curso) y 1 corresponde a un gate de CI ya conocido (test_ci_puerta_escritura_directa.py, ticket KC-FAB-02-5). Ninguna de las 6 se modificó en este ciclo, para no interferir con trabajo de otros integrantes.</w:t>
      </w:r>
    </w:p>
    <w:p>
      <w:pPr>
        <w:pStyle w:val="Heading1"/>
        <w:pBdr>
          <w:bottom w:val="single" w:color="1E2761" w:sz="12" w:space="4"/>
        </w:pBdr>
        <w:spacing w:after="160" w:before="360"/>
      </w:pPr>
      <w:r>
        <w:rPr>
          <w:rFonts w:ascii="Cambria" w:cs="Cambria" w:eastAsia="Cambria" w:hAnsi="Cambria"/>
          <w:b/>
          <w:bCs/>
          <w:color w:val="1E2761"/>
          <w:sz w:val="30"/>
          <w:szCs w:val="30"/>
        </w:rPr>
        <w:t xml:space="preserve">6. Trazabilidad</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600"/>
        <w:gridCol w:w="5800"/>
      </w:tblGrid>
      <w:tr>
        <w:trPr>
          <w:tblHeader/>
        </w:trPr>
        <w:tc>
          <w:tcPr>
            <w:tcW w:type="dxa" w:w="2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Elemento</w:t>
            </w:r>
          </w:p>
        </w:tc>
        <w:tc>
          <w:tcPr>
            <w:tcW w:type="dxa" w:w="5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Referencia</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Ticket Jira</w:t>
            </w:r>
          </w:p>
        </w:tc>
        <w:tc>
          <w:tcPr>
            <w:tcW w:type="dxa" w:w="5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KC-ONB-02-5 — Suite de aislamiento, recall e idempotencia sobre la capa vectorial</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Archivos de código</w:t>
            </w:r>
          </w:p>
        </w:tc>
        <w:tc>
          <w:tcPr>
            <w:tcW w:type="dxa" w:w="5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packages/core/kallicode_core/vectores.py · apps/workers/kallicode_workers/normalizer.py</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Archivo de prueba</w:t>
            </w:r>
          </w:p>
        </w:tc>
        <w:tc>
          <w:tcPr>
            <w:tcW w:type="dxa" w:w="5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packages/core/test/test_vec_capa_vectorial.py</w:t>
            </w:r>
          </w:p>
        </w:tc>
      </w:tr>
      <w:t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Seed de infraestructura</w:t>
            </w:r>
          </w:p>
        </w:tc>
        <w:tc>
          <w:tcPr>
            <w:tcW w:type="dxa" w:w="5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db/seeds/dev_role.sql</w:t>
            </w:r>
          </w:p>
        </w:tc>
      </w:tr>
      <w:t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Commit</w:t>
            </w:r>
          </w:p>
        </w:tc>
        <w:tc>
          <w:tcPr>
            <w:tcW w:type="dxa" w:w="5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Cambios integrados en la rama de trabajo del equipo (develop), repositorio kallicode-backend</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7. Conclusión y próximos pasos</w:t>
      </w:r>
    </w:p>
    <w:p>
      <w:pPr>
        <w:spacing w:after="120" w:line="276"/>
      </w:pPr>
      <w:r>
        <w:rPr>
          <w:rFonts w:ascii="Calibri" w:cs="Calibri" w:eastAsia="Calibri" w:hAnsi="Calibri"/>
          <w:color w:val="2B2B2B"/>
          <w:sz w:val="22"/>
          <w:szCs w:val="22"/>
        </w:rPr>
        <w:t xml:space="preserve">El ciclo de pruebas sobre la capa vectorial cierra con el 100% de los casos automatizados aprobados y sin defectos abiertos. El valor principal del ciclo no fue solo confirmar que el código nuevo funciona, sino detectar —mediante ejecución real contra base de datos— una falla de seguridad que la revisión de código por sí sola no habría expuesto (DEF-01: ausencia de un rol de login sin bypass de RLS en el entorno de desarrollo).</w:t>
      </w:r>
    </w:p>
    <w:p>
      <w:pPr>
        <w:pStyle w:val="ListParagraph"/>
        <w:numPr>
          <w:ilvl w:val="0"/>
          <w:numId w:val="2"/>
        </w:numPr>
        <w:spacing w:after="80"/>
      </w:pPr>
      <w:r>
        <w:rPr>
          <w:rFonts w:ascii="Calibri" w:cs="Calibri" w:eastAsia="Calibri" w:hAnsi="Calibri"/>
          <w:b w:val="false"/>
          <w:bCs w:val="false"/>
          <w:color w:val="2B2B2B"/>
          <w:sz w:val="22"/>
          <w:szCs w:val="22"/>
        </w:rPr>
        <w:t xml:space="preserve">Automatizar los casos CP-06 a CP-10 (normalización de webhooks y resiliencia de triage), actualmente solo documentados.</w:t>
      </w:r>
    </w:p>
    <w:p>
      <w:pPr>
        <w:pStyle w:val="ListParagraph"/>
        <w:numPr>
          <w:ilvl w:val="0"/>
          <w:numId w:val="2"/>
        </w:numPr>
        <w:spacing w:after="80"/>
      </w:pPr>
      <w:r>
        <w:rPr>
          <w:rFonts w:ascii="Calibri" w:cs="Calibri" w:eastAsia="Calibri" w:hAnsi="Calibri"/>
          <w:b w:val="false"/>
          <w:bCs w:val="false"/>
          <w:color w:val="2B2B2B"/>
          <w:sz w:val="22"/>
          <w:szCs w:val="22"/>
        </w:rPr>
        <w:t xml:space="preserve">Proponer a Anderson González (responsable de BD/Seguridad/RLS) adoptar el rol kallicode_dev como estándar de conexión para cualquier prueba de integración futura del equipo.</w:t>
      </w:r>
    </w:p>
    <w:p>
      <w:pPr>
        <w:pStyle w:val="ListParagraph"/>
        <w:numPr>
          <w:ilvl w:val="0"/>
          <w:numId w:val="2"/>
        </w:numPr>
        <w:spacing w:after="80"/>
      </w:pPr>
      <w:r>
        <w:rPr>
          <w:rFonts w:ascii="Calibri" w:cs="Calibri" w:eastAsia="Calibri" w:hAnsi="Calibri"/>
          <w:b w:val="false"/>
          <w:bCs w:val="false"/>
          <w:color w:val="2B2B2B"/>
          <w:sz w:val="22"/>
          <w:szCs w:val="22"/>
        </w:rPr>
        <w:t xml:space="preserve">Informar a Iván Henríquez sobre las fallas preexistentes en test_config.py detectadas durante la regresión, sin intervenir directamente en su módulo.</w:t>
      </w:r>
    </w:p>
    <w:sectPr>
      <w:headerReference w:type="default" r:id="rId7"/>
      <w:footerReference w:type="default" r:id="rId8"/>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Resultados de las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2026-10-10T01:16:31.380Z</dcterms:created>
  <dcterms:modified xsi:type="dcterms:W3CDTF">2026-10-10T01:16:31.390Z</dcterms:modified>
</cp:coreProperties>
</file>

<file path=docProps/custom.xml><?xml version="1.0" encoding="utf-8"?>
<Properties xmlns="http://schemas.openxmlformats.org/officeDocument/2006/custom-properties" xmlns:vt="http://schemas.openxmlformats.org/officeDocument/2006/docPropsVTypes"/>
</file>