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60"/>
              <w:jc w:val="both"/>
            </w:pPr>
            <w:r>
              <w:rPr>
                <w:sz w:val="22"/>
                <w:szCs w:val="22"/>
              </w:rPr>
              <w:t xml:space="preserve">En términos generales hemos podido cumplir las actividades de nuestro carril (CodeMapping) dentro de cada sprint, aunque no siempre en el orden originalmente previsto. En esta fase entregamos el contrato versionado de las estadísticas de ingesta (KC-CM-06-4), las pruebas de mutación con la cobertura elevada al 70 % (KC-CM-06-6, que terminó en 79 %) y, en el sprint siguiente, la API de curación, la defensa contra prompt injection y los selectores de la interfaz (KC-CM-07-3, 07-4 y 07-5).</w:t>
            </w:r>
          </w:p>
          <w:p>
            <w:pPr>
              <w:spacing w:before="120" w:after="60"/>
              <w:jc w:val="both"/>
            </w:pPr>
            <w:r>
              <w:rPr>
                <w:sz w:val="22"/>
                <w:szCs w:val="22"/>
              </w:rPr>
              <w:t xml:space="preserve">Lo que facilitó el avance: tickets con dependencias explícitas dentro del carril (por ejemplo, 06-4 y 06-5 antes de 06-6; 07-1 → 07-2 → 07-3), el trabajo con ramas, pull requests y CI sobre develop, y una suite de pruebas automatizadas que da retroalimentación inmediata.</w:t>
            </w:r>
          </w:p>
          <w:p>
            <w:pPr>
              <w:spacing w:before="120" w:after="60"/>
              <w:jc w:val="both"/>
            </w:pPr>
            <w:r>
              <w:rPr>
                <w:sz w:val="22"/>
                <w:szCs w:val="22"/>
              </w:rPr>
              <w:t xml:space="preserve">Lo que lo dificultó: las dependencias entre tareas de distintos integrantes (la API de curación necesita que la persistencia de la cola esté lista), el bloqueo previo por la migración del esquema de datos (KC-ONB-03-4), la herramienta de pruebas de mutación, que solo funciona en Linux, macOS o WSL y obligó a ejecutarla en un entorno Linux y en CI, y el tiempo de preparar el entorno local (Docker, dependencias).</w:t>
            </w:r>
          </w:p>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60"/>
              <w:jc w:val="both"/>
            </w:pPr>
            <w:r>
              <w:rPr>
                <w:sz w:val="22"/>
                <w:szCs w:val="22"/>
              </w:rPr>
              <w:t xml:space="preserve">Frente a las dependencias, revisamos el código de la tarea previa antes de construir sobre él. Gracias a eso, al desarrollar la API de curación detectamos que la persistencia de la cola escribía columnas que no existen en la tabla real, y que reabría como pendientes elementos ya resueltos. Lo corregimos, lo dejamos documentado en el pull request y agregamos pruebas que fijan el formato correcto.</w:t>
            </w:r>
          </w:p>
          <w:p>
            <w:pPr>
              <w:spacing w:before="120" w:after="60"/>
              <w:jc w:val="both"/>
            </w:pPr>
            <w:r>
              <w:rPr>
                <w:sz w:val="22"/>
                <w:szCs w:val="22"/>
              </w:rPr>
              <w:t xml:space="preserve">Frente a la limitación de la herramienta de mutación, creamos una configuración propia, un script que verifica un mínimo de 90 % de mutantes eliminados y un paso en CI que lo ejecuta en Linux. Un defecto conocido en el cierre de snapshots fallidos quedó registrado con una prueba xfail estricta, para que no se oculte y se note cuando se corrija.</w:t>
            </w:r>
          </w:p>
          <w:p>
            <w:pPr>
              <w:spacing w:before="120" w:after="60"/>
              <w:jc w:val="both"/>
            </w:pPr>
            <w:r>
              <w:rPr>
                <w:sz w:val="22"/>
                <w:szCs w:val="22"/>
              </w:rPr>
              <w:t xml:space="preserve">Para el riesgo de seguridad del texto proveniente del código del cliente, incorporamos saneo, delimitación y validación de las respuestas del modelo. Hacia adelante, planeamos verificar los resultados del CI de los pull requests abiertos, ejecutar las pruebas contra PostgreSQL real y coordinar con el equipo del portal la aprobación del cambio de contrato.</w:t>
            </w:r>
          </w:p>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60"/>
              <w:jc w:val="both"/>
            </w:pPr>
            <w:r>
              <w:rPr>
                <w:sz w:val="22"/>
                <w:szCs w:val="22"/>
              </w:rPr>
              <w:t xml:space="preserve">Evaluamos nuestro trabajo como sólido en calidad técnica y trazabilidad. Destacamos la suite de pruebas del carril (315 pruebas pasando, 83 % de cobertura), la verificación automática con lint y tipado, la trazabilidad de cada cambio a su ticket y la documentación técnica que dejamos en el repositorio (calidad de mutación, contrato de estadísticas y curación).</w:t>
            </w:r>
          </w:p>
          <w:p>
            <w:pPr>
              <w:spacing w:before="120" w:after="60"/>
              <w:jc w:val="both"/>
            </w:pPr>
            <w:r>
              <w:rPr>
                <w:sz w:val="22"/>
                <w:szCs w:val="22"/>
              </w:rPr>
              <w:t xml:space="preserve">Podemos mejorar en tres aspectos: aumentar la proporción de pruebas contra PostgreSQL real (hoy varias se omiten por requerirla y otras usan dobles de prueba), anticipar los bloqueos entre tareas dependientes y pedir la revisión de pares antes, no al final de cada ticket.</w:t>
            </w:r>
          </w:p>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60"/>
              <w:jc w:val="both"/>
            </w:pPr>
            <w:r>
              <w:rPr>
                <w:sz w:val="22"/>
                <w:szCs w:val="22"/>
              </w:rPr>
              <w:t xml:space="preserve">Nos quedan dos inquietudes principales. La primera es cuánta evidencia se espera de pruebas contra una base de datos real, considerando que parte de nuestras pruebas usa dobles de prueba. La segunda es si, en esta fase, basta con documentar que aprobar un elemento de la cola de curación aún no lo incorpora al grafo, o si se espera que esa promoción quede implementada.</w:t>
            </w:r>
          </w:p>
          <w:p>
            <w:pPr>
              <w:spacing w:before="120" w:after="60"/>
              <w:jc w:val="both"/>
            </w:pPr>
            <w:r>
              <w:rPr>
                <w:sz w:val="22"/>
                <w:szCs w:val="22"/>
              </w:rPr>
              <w:t xml:space="preserve">Pregunta para el docente: ¿cómo se valoran los entregables técnicos sin interfaz visible, como una API, un contrato o una defensa de seguridad? Pregunta para los pares: ¿cómo coordinan la aprobación de cambios de contrato con los equipos que consumen su API?</w:t>
            </w:r>
          </w:p>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60"/>
              <w:jc w:val="both"/>
            </w:pPr>
            <w:r>
              <w:rPr>
                <w:sz w:val="22"/>
                <w:szCs w:val="22"/>
              </w:rPr>
              <w:t xml:space="preserve">Por ahora no vemos necesario redistribuir los carriles: CodeMapping se trabaja de forma autónoma y cada integrante conoce sus tickets. Sí identificamos actividades nuevas por asignar: la revisión cruzada de los pull requests, la ejecución de las pruebas contra PostgreSQL real, la implementación de la promoción de elementos aprobados al grafo y la actualización de los documentos de gestión de esta fase (actas, estados de avance y plan del proyecto). Proponemos repartirlas en la próxima reunión de sprint.</w:t>
            </w:r>
          </w:p>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60"/>
              <w:jc w:val="both"/>
            </w:pPr>
            <w:r>
              <w:rPr>
                <w:sz w:val="22"/>
                <w:szCs w:val="22"/>
              </w:rPr>
              <w:t xml:space="preserve">Evaluamos el trabajo en grupo de forma positiva. Destacamos la claridad de los carriles y de las dependencias entre tickets, el uso de ramas y pull requests, y que las correcciones al trabajo de otro integrante se hicieron de forma abierta y orientada a mejorar el resultado, sin fricciones.</w:t>
            </w:r>
          </w:p>
          <w:p>
            <w:pPr>
              <w:spacing w:before="120" w:after="60"/>
              <w:jc w:val="both"/>
            </w:pPr>
            <w:r>
              <w:rPr>
                <w:sz w:val="22"/>
                <w:szCs w:val="22"/>
              </w:rPr>
              <w:t xml:space="preserve">Podemos mejorar la anticipación de las dependencias entre tareas, la revisión cruzada antes de integrar cambios, el registro de acuerdos en actas y la comunicación con los equipos que consumen nuestros contratos.</w:t>
            </w:r>
          </w:p>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