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Legacy Fortress – Business Opportunity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Overview</w:t>
      </w:r>
    </w:p>
    <w:p>
      <w:pPr/>
      <w:r>
        <w:rPr>
          <w:rFonts w:ascii="Helvetica Light" w:hAnsi="Helvetica Light" w:cs="Helvetica Light"/>
          <w:sz w:val="24"/>
          <w:sz-cs w:val="24"/>
        </w:rPr>
        <w:t xml:space="preserve">Legacy Fortress addresses a growing global problem: individuals increasingly hold fragmented digital, financial, legal, and personal asset information with no secure centralised repository. Significant proportions of adults lack wills and billions remain in unclaimed pensions, bank accounts, and insurance funds, highlighting a structural gap in estate continuity and asset visibility.</w:t>
      </w:r>
    </w:p>
    <w:p>
      <w:pPr/>
      <w:r>
        <w:rPr>
          <w:rFonts w:ascii="Helvetica Light" w:hAnsi="Helvetica Light" w:cs="Helvetica Light"/>
          <w:sz w:val="24"/>
          <w:sz-cs w:val="24"/>
        </w:rPr>
        <w:t xml:space="preserve">As physical documentation declines and digital assets expand, demand for trusted digital legacy infrastructure is expected to grow significantly, positioning Legacy Fortress at the intersection of legal-tech, fintech, digital identity, and estate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 Summary</w:t>
      </w:r>
    </w:p>
    <w:p>
      <w:pPr/>
      <w:r>
        <w:rPr>
          <w:rFonts w:ascii="Helvetica Light" w:hAnsi="Helvetica Light" w:cs="Helvetica Light"/>
          <w:sz w:val="24"/>
          <w:sz-cs w:val="24"/>
        </w:rPr>
        <w:t xml:space="preserve">Legacy Fortress will provide a secure digital “data-room” platform enabling individuals and families to:</w:t>
      </w:r>
    </w:p>
    <w:p>
      <w:pPr/>
      <w:r>
        <w:rPr>
          <w:rFonts w:ascii="Helvetica Light" w:hAnsi="Helvetica Light" w:cs="Helvetica Light"/>
          <w:sz w:val="24"/>
          <w:sz-cs w:val="24"/>
        </w:rPr>
        <w:t xml:space="preserve"/>
        <w:tab/>
        <w:t xml:space="preserve">•</w:t>
        <w:tab/>
        <w:t xml:space="preserve">Store and verify legal, financial, property, and personal documents</w:t>
      </w:r>
    </w:p>
    <w:p>
      <w:pPr/>
      <w:r>
        <w:rPr>
          <w:rFonts w:ascii="Helvetica Light" w:hAnsi="Helvetica Light" w:cs="Helvetica Light"/>
          <w:sz w:val="24"/>
          <w:sz-cs w:val="24"/>
        </w:rPr>
        <w:t xml:space="preserve"/>
        <w:tab/>
        <w:t xml:space="preserve">•</w:t>
        <w:tab/>
        <w:t xml:space="preserve">Record wishes, instructions, and estate planning information</w:t>
      </w:r>
    </w:p>
    <w:p>
      <w:pPr/>
      <w:r>
        <w:rPr>
          <w:rFonts w:ascii="Helvetica Light" w:hAnsi="Helvetica Light" w:cs="Helvetica Light"/>
          <w:sz w:val="24"/>
          <w:sz-cs w:val="24"/>
        </w:rPr>
        <w:t xml:space="preserve"/>
        <w:tab/>
        <w:t xml:space="preserve">•</w:t>
        <w:tab/>
        <w:t xml:space="preserve">Provide controlled access for executors or family members</w:t>
      </w:r>
    </w:p>
    <w:p>
      <w:pPr/>
      <w:r>
        <w:rPr>
          <w:rFonts w:ascii="Helvetica Light" w:hAnsi="Helvetica Light" w:cs="Helvetica Light"/>
          <w:sz w:val="24"/>
          <w:sz-cs w:val="24"/>
        </w:rPr>
        <w:t xml:space="preserve"/>
        <w:tab/>
        <w:t xml:space="preserve">•</w:t>
        <w:tab/>
        <w:t xml:space="preserve">Maintain ongoing updates through reminders and integrations</w:t>
      </w:r>
    </w:p>
    <w:p>
      <w:pPr/>
      <w:r>
        <w:rPr>
          <w:rFonts w:ascii="Helvetica Light" w:hAnsi="Helvetica Light" w:cs="Helvetica Light"/>
          <w:sz w:val="24"/>
          <w:sz-cs w:val="24"/>
        </w:rPr>
        <w:t xml:space="preserve">The commercial model begins with a low-cost consumer subscription. The current working specification is Legacy Fortress Free plus an indicative Legacy Fortress+ tier at £2.99/month, supported by enterprise licensing and partnership-led revenue.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Application Specification (Commercial MVP)</w:t>
      </w:r>
    </w:p>
    <w:p>
      <w:pPr/>
      <w:r>
        <w:rPr>
          <w:rFonts w:ascii="Helvetica Light" w:hAnsi="Helvetica Light" w:cs="Helvetica Light"/>
          <w:sz w:val="24"/>
          <w:sz-cs w:val="24"/>
        </w:rPr>
        <w:t xml:space="preserve">The initial MVP will prioritise:</w:t>
      </w:r>
    </w:p>
    <w:p>
      <w:pPr/>
      <w:r>
        <w:rPr>
          <w:rFonts w:ascii="Helvetica Light" w:hAnsi="Helvetica Light" w:cs="Helvetica Light"/>
          <w:sz w:val="24"/>
          <w:sz-cs w:val="24"/>
        </w:rPr>
        <w:t xml:space="preserve"/>
        <w:tab/>
        <w:t xml:space="preserve">•</w:t>
        <w:tab/>
        <w:t xml:space="preserve">Secure onboarding and authentication</w:t>
      </w:r>
    </w:p>
    <w:p>
      <w:pPr/>
      <w:r>
        <w:rPr>
          <w:rFonts w:ascii="Helvetica Light" w:hAnsi="Helvetica Light" w:cs="Helvetica Light"/>
          <w:sz w:val="24"/>
          <w:sz-cs w:val="24"/>
        </w:rPr>
        <w:t xml:space="preserve"/>
        <w:tab/>
        <w:t xml:space="preserve">•</w:t>
        <w:tab/>
        <w:t xml:space="preserve">Structured digital vault for assets, legal documents, and personal records</w:t>
      </w:r>
    </w:p>
    <w:p>
      <w:pPr/>
      <w:r>
        <w:rPr>
          <w:rFonts w:ascii="Helvetica Light" w:hAnsi="Helvetica Light" w:cs="Helvetica Light"/>
          <w:sz w:val="24"/>
          <w:sz-cs w:val="24"/>
        </w:rPr>
        <w:t xml:space="preserve"/>
        <w:tab/>
        <w:t xml:space="preserve">•</w:t>
        <w:tab/>
        <w:t xml:space="preserve">Asset registry covering wills, pensions, investments, property, business interests, and personal wishes</w:t>
      </w:r>
    </w:p>
    <w:p>
      <w:pPr/>
      <w:r>
        <w:rPr>
          <w:rFonts w:ascii="Helvetica Light" w:hAnsi="Helvetica Light" w:cs="Helvetica Light"/>
          <w:sz w:val="24"/>
          <w:sz-cs w:val="24"/>
        </w:rPr>
        <w:t xml:space="preserve"/>
        <w:tab/>
        <w:t xml:space="preserve">•</w:t>
        <w:tab/>
        <w:t xml:space="preserve">Reminder and update management functionality</w:t>
      </w:r>
    </w:p>
    <w:p>
      <w:pPr/>
      <w:r>
        <w:rPr>
          <w:rFonts w:ascii="Helvetica Light" w:hAnsi="Helvetica Light" w:cs="Helvetica Light"/>
          <w:sz w:val="24"/>
          <w:sz-cs w:val="24"/>
        </w:rPr>
        <w:t xml:space="preserve"/>
        <w:tab/>
        <w:t xml:space="preserve">•</w:t>
        <w:tab/>
        <w:t xml:space="preserve">Subscription payment capability</w:t>
      </w:r>
    </w:p>
    <w:p>
      <w:pPr/>
      <w:r>
        <w:rPr>
          <w:rFonts w:ascii="Helvetica Light" w:hAnsi="Helvetica Light" w:cs="Helvetica Light"/>
          <w:sz w:val="24"/>
          <w:sz-cs w:val="24"/>
        </w:rPr>
        <w:t xml:space="preserve"/>
        <w:tab/>
        <w:t xml:space="preserve">•</w:t>
        <w:tab/>
        <w:t xml:space="preserve">API readiness for future enterprise integrations</w:t>
      </w:r>
    </w:p>
    <w:p>
      <w:pPr/>
      <w:r>
        <w:rPr>
          <w:rFonts w:ascii="Helvetica Light" w:hAnsi="Helvetica Light" w:cs="Helvetica Light"/>
          <w:sz w:val="24"/>
          <w:sz-cs w:val="24"/>
        </w:rPr>
        <w:t xml:space="preserve"/>
        <w:tab/>
        <w:t xml:space="preserve">•</w:t>
        <w:tab/>
        <w:t xml:space="preserve">Scalable infrastructure suitable for corporate licensing</w:t>
      </w:r>
    </w:p>
    <w:p>
      <w:pPr/>
      <w:r>
        <w:rPr>
          <w:rFonts w:ascii="Helvetica Light" w:hAnsi="Helvetica Light" w:cs="Helvetica Light"/>
          <w:sz w:val="24"/>
          <w:sz-cs w:val="24"/>
        </w:rPr>
        <w:t xml:space="preserve">Estimated initial development investment: £15k–£20k, delivered through a revenue-first bootstrap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Routes to Market</w:t>
      </w:r>
    </w:p>
    <w:p>
      <w:pPr/>
      <w:r>
        <w:rPr>
          <w:rFonts w:ascii="Helvetica Light" w:hAnsi="Helvetica Light" w:cs="Helvetica Light"/>
          <w:sz w:val="24"/>
          <w:sz-cs w:val="24"/>
        </w:rPr>
        <w:t xml:space="preserve">Primary growth channels include:</w:t>
      </w:r>
    </w:p>
    <w:p>
      <w:pPr/>
      <w:r>
        <w:rPr>
          <w:rFonts w:ascii="Helvetica Light" w:hAnsi="Helvetica Light" w:cs="Helvetica Light"/>
          <w:sz w:val="24"/>
          <w:sz-cs w:val="24"/>
        </w:rPr>
        <w:t xml:space="preserve">Strategic Partnerships</w:t>
      </w:r>
    </w:p>
    <w:p>
      <w:pPr/>
      <w:r>
        <w:rPr>
          <w:rFonts w:ascii="Helvetica Light" w:hAnsi="Helvetica Light" w:cs="Helvetica Light"/>
          <w:sz w:val="24"/>
          <w:sz-cs w:val="24"/>
        </w:rPr>
        <w:t xml:space="preserve"/>
        <w:tab/>
        <w:t xml:space="preserve">•</w:t>
        <w:tab/>
        <w:t xml:space="preserve">Legal and estate planning organisations</w:t>
      </w:r>
    </w:p>
    <w:p>
      <w:pPr/>
      <w:r>
        <w:rPr>
          <w:rFonts w:ascii="Helvetica Light" w:hAnsi="Helvetica Light" w:cs="Helvetica Light"/>
          <w:sz w:val="24"/>
          <w:sz-cs w:val="24"/>
        </w:rPr>
        <w:t xml:space="preserve"/>
        <w:tab/>
        <w:t xml:space="preserve">•</w:t>
        <w:tab/>
        <w:t xml:space="preserve">Insurance, pension, and financial services providers</w:t>
      </w:r>
    </w:p>
    <w:p>
      <w:pPr/>
      <w:r>
        <w:rPr>
          <w:rFonts w:ascii="Helvetica Light" w:hAnsi="Helvetica Light" w:cs="Helvetica Light"/>
          <w:sz w:val="24"/>
          <w:sz-cs w:val="24"/>
        </w:rPr>
        <w:t xml:space="preserve"/>
        <w:tab/>
        <w:t xml:space="preserve">•</w:t>
        <w:tab/>
        <w:t xml:space="preserve">Employee benefits platforms</w:t>
      </w:r>
    </w:p>
    <w:p>
      <w:pPr/>
      <w:r>
        <w:rPr>
          <w:rFonts w:ascii="Helvetica Light" w:hAnsi="Helvetica Light" w:cs="Helvetica Light"/>
          <w:sz w:val="24"/>
          <w:sz-cs w:val="24"/>
        </w:rPr>
        <w:t xml:space="preserve"/>
        <w:tab/>
        <w:t xml:space="preserve">•</w:t>
        <w:tab/>
        <w:t xml:space="preserve">Funeral planning and legacy service providers</w:t>
      </w:r>
    </w:p>
    <w:p>
      <w:pPr/>
      <w:r>
        <w:rPr>
          <w:rFonts w:ascii="Helvetica Light" w:hAnsi="Helvetica Light" w:cs="Helvetica Light"/>
          <w:sz w:val="24"/>
          <w:sz-cs w:val="24"/>
        </w:rPr>
        <w:t xml:space="preserve">These channels provide trusted consumer access and scalable distribution.</w:t>
      </w:r>
    </w:p>
    <w:p>
      <w:pPr/>
      <w:r>
        <w:rPr>
          <w:rFonts w:ascii="Helvetica Light" w:hAnsi="Helvetica Light" w:cs="Helvetica Light"/>
          <w:sz w:val="24"/>
          <w:sz-cs w:val="24"/>
        </w:rPr>
        <w:t xml:space="preserve">Commercial Expansion Opportunities</w:t>
      </w:r>
    </w:p>
    <w:p>
      <w:pPr/>
      <w:r>
        <w:rPr>
          <w:rFonts w:ascii="Helvetica Light" w:hAnsi="Helvetica Light" w:cs="Helvetica Light"/>
          <w:sz w:val="24"/>
          <w:sz-cs w:val="24"/>
        </w:rPr>
        <w:t xml:space="preserve"/>
        <w:tab/>
        <w:t xml:space="preserve">•</w:t>
        <w:tab/>
        <w:t xml:space="preserve">Affiliate/referral income (wills, insurance, pensions, legal services)</w:t>
      </w:r>
    </w:p>
    <w:p>
      <w:pPr/>
      <w:r>
        <w:rPr>
          <w:rFonts w:ascii="Helvetica Light" w:hAnsi="Helvetica Light" w:cs="Helvetica Light"/>
          <w:sz w:val="24"/>
          <w:sz-cs w:val="24"/>
        </w:rPr>
        <w:t xml:space="preserve"/>
        <w:tab/>
        <w:t xml:space="preserve">•</w:t>
        <w:tab/>
        <w:t xml:space="preserve">Enterprise data-room licensing</w:t>
      </w:r>
    </w:p>
    <w:p>
      <w:pPr/>
      <w:r>
        <w:rPr>
          <w:rFonts w:ascii="Helvetica Light" w:hAnsi="Helvetica Light" w:cs="Helvetica Light"/>
          <w:sz w:val="24"/>
          <w:sz-cs w:val="24"/>
        </w:rPr>
        <w:t xml:space="preserve"/>
        <w:tab/>
        <w:t xml:space="preserve">•</w:t>
        <w:tab/>
        <w:t xml:space="preserve">White-label platform licensing</w:t>
      </w:r>
    </w:p>
    <w:p>
      <w:pPr/>
      <w:r>
        <w:rPr>
          <w:rFonts w:ascii="Helvetica Light" w:hAnsi="Helvetica Light" w:cs="Helvetica Light"/>
          <w:sz w:val="24"/>
          <w:sz-cs w:val="24"/>
        </w:rPr>
        <w:t xml:space="preserve"/>
        <w:tab/>
        <w:t xml:space="preserve">•</w:t>
        <w:tab/>
        <w:t xml:space="preserve">Premium feature tiers (enhanced sharing, connected financial features, identity and estate workflows, and other approved Plus capabilities)</w:t>
      </w:r>
    </w:p>
    <w:p>
      <w:pPr/>
      <w:r>
        <w:rPr>
          <w:rFonts w:ascii="Helvetica Light" w:hAnsi="Helvetica Light" w:cs="Helvetica Light"/>
          <w:sz w:val="24"/>
          <w:sz-cs w:val="24"/>
        </w:rPr>
        <w:t xml:space="preserve"/>
        <w:tab/>
        <w:t xml:space="preserve">•</w:t>
        <w:tab/>
        <w:t xml:space="preserve">Marketplace ecosystem for related services</w:t>
      </w:r>
    </w:p>
    <w:p>
      <w:pPr/>
      <w:r>
        <w:rPr>
          <w:rFonts w:ascii="Helvetica Light" w:hAnsi="Helvetica Light" w:cs="Helvetica Light"/>
          <w:sz w:val="24"/>
          <w:sz-cs w:val="24"/>
        </w:rPr>
        <w:t xml:space="preserve">This diversified model supports recurring revenue with multiple growth levers.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Potential</w:t>
      </w:r>
    </w:p>
    <w:p>
      <w:pPr/>
      <w:r>
        <w:rPr>
          <w:rFonts w:ascii="Helvetica Light" w:hAnsi="Helvetica Light" w:cs="Helvetica Light"/>
          <w:sz w:val="24"/>
          <w:sz-cs w:val="24"/>
        </w:rPr>
        <w:t xml:space="preserve">Legacy Fortress sits within several expanding markets:</w:t>
      </w:r>
    </w:p>
    <w:p>
      <w:pPr/>
      <w:r>
        <w:rPr>
          <w:rFonts w:ascii="Helvetica Light" w:hAnsi="Helvetica Light" w:cs="Helvetica Light"/>
          <w:sz w:val="24"/>
          <w:sz-cs w:val="24"/>
        </w:rPr>
        <w:t xml:space="preserve"/>
        <w:tab/>
        <w:t xml:space="preserve">•</w:t>
        <w:tab/>
        <w:t xml:space="preserve">Estate planning and inheritance services</w:t>
      </w:r>
    </w:p>
    <w:p>
      <w:pPr/>
      <w:r>
        <w:rPr>
          <w:rFonts w:ascii="Helvetica Light" w:hAnsi="Helvetica Light" w:cs="Helvetica Light"/>
          <w:sz w:val="24"/>
          <w:sz-cs w:val="24"/>
        </w:rPr>
        <w:t xml:space="preserve"/>
        <w:tab/>
        <w:t xml:space="preserve">•</w:t>
        <w:tab/>
        <w:t xml:space="preserve">Digital asset management and identity security</w:t>
      </w:r>
    </w:p>
    <w:p>
      <w:pPr/>
      <w:r>
        <w:rPr>
          <w:rFonts w:ascii="Helvetica Light" w:hAnsi="Helvetica Light" w:cs="Helvetica Light"/>
          <w:sz w:val="24"/>
          <w:sz-cs w:val="24"/>
        </w:rPr>
        <w:t xml:space="preserve"/>
        <w:tab/>
        <w:t xml:space="preserve">•</w:t>
        <w:tab/>
        <w:t xml:space="preserve">Wealth management and fintech infrastructure</w:t>
      </w:r>
    </w:p>
    <w:p>
      <w:pPr/>
      <w:r>
        <w:rPr>
          <w:rFonts w:ascii="Helvetica Light" w:hAnsi="Helvetica Light" w:cs="Helvetica Light"/>
          <w:sz w:val="24"/>
          <w:sz-cs w:val="24"/>
        </w:rPr>
        <w:t xml:space="preserve"/>
        <w:tab/>
        <w:t xml:space="preserve">•</w:t>
        <w:tab/>
        <w:t xml:space="preserve">Employee benefits and insurance ecosystems</w:t>
      </w:r>
    </w:p>
    <w:p>
      <w:pPr/>
      <w:r>
        <w:rPr>
          <w:rFonts w:ascii="Helvetica Light" w:hAnsi="Helvetica Light" w:cs="Helvetica Light"/>
          <w:sz w:val="24"/>
          <w:sz-cs w:val="24"/>
        </w:rPr>
        <w:t xml:space="preserve">Demographic ageing, increasing digital wealth, and regulatory transparency trends support sustained demand.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Role &amp; Equity Position (30% Ordinary Shares)</w:t>
      </w:r>
    </w:p>
    <w:p>
      <w:pPr/>
      <w:r>
        <w:rPr>
          <w:rFonts w:ascii="Helvetica Light" w:hAnsi="Helvetica Light" w:cs="Helvetica Light"/>
          <w:sz w:val="24"/>
          <w:sz-cs w:val="24"/>
        </w:rPr>
        <w:t xml:space="preserve">I will act as:</w:t>
      </w:r>
    </w:p>
    <w:p>
      <w:pPr/>
      <w:r>
        <w:rPr>
          <w:rFonts w:ascii="Helvetica Light" w:hAnsi="Helvetica Light" w:cs="Helvetica Light"/>
          <w:sz w:val="24"/>
          <w:sz-cs w:val="24"/>
        </w:rPr>
        <w:t xml:space="preserve">Early-Stage Enabler &amp; Principal Project Lead</w:t>
      </w:r>
    </w:p>
    <w:p>
      <w:pPr/>
      <w:r>
        <w:rPr>
          <w:rFonts w:ascii="Helvetica Light" w:hAnsi="Helvetica Light" w:cs="Helvetica Light"/>
          <w:sz w:val="24"/>
          <w:sz-cs w:val="24"/>
        </w:rPr>
        <w:t xml:space="preserve">Focus:</w:t>
      </w:r>
    </w:p>
    <w:p>
      <w:pPr/>
      <w:r>
        <w:rPr>
          <w:rFonts w:ascii="Helvetica Light" w:hAnsi="Helvetica Light" w:cs="Helvetica Light"/>
          <w:sz w:val="24"/>
          <w:sz-cs w:val="24"/>
        </w:rPr>
        <w:t xml:space="preserve"/>
        <w:tab/>
        <w:t xml:space="preserve">•</w:t>
        <w:tab/>
        <w:t xml:space="preserve">Taking the concept from early-stage documentation to operational MVP</w:t>
      </w:r>
    </w:p>
    <w:p>
      <w:pPr/>
      <w:r>
        <w:rPr>
          <w:rFonts w:ascii="Helvetica Light" w:hAnsi="Helvetica Light" w:cs="Helvetica Light"/>
          <w:sz w:val="24"/>
          <w:sz-cs w:val="24"/>
        </w:rPr>
        <w:t xml:space="preserve"/>
        <w:tab/>
        <w:t xml:space="preserve">•</w:t>
        <w:tab/>
        <w:t xml:space="preserve">Driving delivery, timelines, and commercial readiness</w:t>
      </w:r>
    </w:p>
    <w:p>
      <w:pPr/>
      <w:r>
        <w:rPr>
          <w:rFonts w:ascii="Helvetica Light" w:hAnsi="Helvetica Light" w:cs="Helvetica Light"/>
          <w:sz w:val="24"/>
          <w:sz-cs w:val="24"/>
        </w:rPr>
        <w:t xml:space="preserve"/>
        <w:tab/>
        <w:t xml:space="preserve">•</w:t>
        <w:tab/>
        <w:t xml:space="preserve">Enabling initial revenue generation and market validation</w:t>
      </w:r>
    </w:p>
    <w:p>
      <w:pPr/>
      <w:r>
        <w:rPr>
          <w:rFonts w:ascii="Helvetica Light" w:hAnsi="Helvetica Light" w:cs="Helvetica Light"/>
          <w:sz w:val="24"/>
          <w:sz-cs w:val="24"/>
        </w:rPr>
        <w:t xml:space="preserve"/>
        <w:tab/>
        <w:t xml:space="preserve">•</w:t>
        <w:tab/>
        <w:t xml:space="preserve">Providing experienced business leadership to accelerate launch</w:t>
      </w:r>
    </w:p>
    <w:p>
      <w:pPr/>
      <w:r>
        <w:rPr>
          <w:rFonts w:ascii="Helvetica Light" w:hAnsi="Helvetica Light" w:cs="Helvetica Light"/>
          <w:sz w:val="24"/>
          <w:sz-cs w:val="24"/>
        </w:rPr>
        <w:t xml:space="preserve"/>
        <w:tab/>
        <w:t xml:space="preserve">•</w:t>
        <w:tab/>
        <w:t xml:space="preserve">Supporting the founder, who remains focused on partnerships and fundraising</w:t>
      </w:r>
    </w:p>
    <w:p>
      <w:pPr/>
      <w:r>
        <w:rPr>
          <w:rFonts w:ascii="Helvetica Light" w:hAnsi="Helvetica Light" w:cs="Helvetica Light"/>
          <w:sz w:val="24"/>
          <w:sz-cs w:val="24"/>
        </w:rPr>
        <w:t xml:space="preserve">The proposed 35% equity allocation reflects a founding-stage execution role necessary to bring the product to market.</w:t>
      </w:r>
    </w:p>
    <w:p>
      <w:pPr/>
      <w:r>
        <w:rPr>
          <w:rFonts w:ascii="Helvetica Light" w:hAnsi="Helvetica Light" w:cs="Helvetica Light"/>
          <w:sz w:val="24"/>
          <w:sz-cs w:val="24"/>
        </w:rPr>
        <w:t xml:space="preserve">Any continued involvement beyond successful MVP launch and initial revenue traction would transition to salary-based remuneration rather than additional equity participation.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Funding Approach</w:t>
      </w:r>
    </w:p>
    <w:p>
      <w:pPr/>
      <w:r>
        <w:rPr>
          <w:rFonts w:ascii="Helvetica Light" w:hAnsi="Helvetica Light" w:cs="Helvetica Light"/>
          <w:sz w:val="24"/>
          <w:sz-cs w:val="24"/>
        </w:rPr>
        <w:t xml:space="preserve">Initial strategy:</w:t>
      </w:r>
    </w:p>
    <w:p>
      <w:pPr/>
      <w:r>
        <w:rPr>
          <w:rFonts w:ascii="Helvetica Light" w:hAnsi="Helvetica Light" w:cs="Helvetica Light"/>
          <w:sz w:val="24"/>
          <w:sz-cs w:val="24"/>
        </w:rPr>
        <w:t xml:space="preserve"/>
        <w:tab/>
        <w:t xml:space="preserve">•</w:t>
        <w:tab/>
        <w:t xml:space="preserve">Revenue-first bootstrap</w:t>
      </w:r>
    </w:p>
    <w:p>
      <w:pPr/>
      <w:r>
        <w:rPr>
          <w:rFonts w:ascii="Helvetica Light" w:hAnsi="Helvetica Light" w:cs="Helvetica Light"/>
          <w:sz w:val="24"/>
          <w:sz-cs w:val="24"/>
        </w:rPr>
        <w:t xml:space="preserve"/>
        <w:tab/>
        <w:t xml:space="preserve">•</w:t>
        <w:tab/>
        <w:t xml:space="preserve">Lean MVP build (£15k–£20k estimated)</w:t>
      </w:r>
    </w:p>
    <w:p>
      <w:pPr/>
      <w:r>
        <w:rPr>
          <w:rFonts w:ascii="Helvetica Light" w:hAnsi="Helvetica Light" w:cs="Helvetica Light"/>
          <w:sz w:val="24"/>
          <w:sz-cs w:val="24"/>
        </w:rPr>
        <w:t xml:space="preserve"/>
        <w:tab/>
        <w:t xml:space="preserve">•</w:t>
        <w:tab/>
        <w:t xml:space="preserve">Partnership-led early adoption</w:t>
      </w:r>
    </w:p>
    <w:p>
      <w:pPr/>
      <w:r>
        <w:rPr>
          <w:rFonts w:ascii="Helvetica Light" w:hAnsi="Helvetica Light" w:cs="Helvetica Light"/>
          <w:sz w:val="24"/>
          <w:sz-cs w:val="24"/>
        </w:rPr>
        <w:t xml:space="preserve"/>
        <w:tab/>
        <w:t xml:space="preserve">•</w:t>
        <w:tab/>
        <w:t xml:space="preserve">Optional external funding once traction is demonstrated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Exit Strategy</w:t>
      </w:r>
    </w:p>
    <w:p>
      <w:pPr/>
      <w:r>
        <w:rPr>
          <w:rFonts w:ascii="Helvetica Light" w:hAnsi="Helvetica Light" w:cs="Helvetica Light"/>
          <w:sz w:val="24"/>
          <w:sz-cs w:val="24"/>
        </w:rPr>
        <w:t xml:space="preserve">Indicative exit horizon: 3–5 years</w:t>
      </w:r>
    </w:p>
    <w:p>
      <w:pPr/>
      <w:r>
        <w:rPr>
          <w:rFonts w:ascii="Helvetica Light" w:hAnsi="Helvetica Light" w:cs="Helvetica Light"/>
          <w:sz w:val="24"/>
          <w:sz-cs w:val="24"/>
        </w:rPr>
        <w:t xml:space="preserve">Potential acquirers include:</w:t>
      </w:r>
    </w:p>
    <w:p>
      <w:pPr/>
      <w:r>
        <w:rPr>
          <w:rFonts w:ascii="Helvetica Light" w:hAnsi="Helvetica Light" w:cs="Helvetica Light"/>
          <w:sz w:val="24"/>
          <w:sz-cs w:val="24"/>
        </w:rPr>
        <w:t xml:space="preserve"/>
        <w:tab/>
        <w:t xml:space="preserve">•</w:t>
        <w:tab/>
        <w:t xml:space="preserve">Legal and estate planning platforms</w:t>
      </w:r>
    </w:p>
    <w:p>
      <w:pPr/>
      <w:r>
        <w:rPr>
          <w:rFonts w:ascii="Helvetica Light" w:hAnsi="Helvetica Light" w:cs="Helvetica Light"/>
          <w:sz w:val="24"/>
          <w:sz-cs w:val="24"/>
        </w:rPr>
        <w:t xml:space="preserve"/>
        <w:tab/>
        <w:t xml:space="preserve">•</w:t>
        <w:tab/>
        <w:t xml:space="preserve">Financial institutions and insurers</w:t>
      </w:r>
    </w:p>
    <w:p>
      <w:pPr/>
      <w:r>
        <w:rPr>
          <w:rFonts w:ascii="Helvetica Light" w:hAnsi="Helvetica Light" w:cs="Helvetica Light"/>
          <w:sz w:val="24"/>
          <w:sz-cs w:val="24"/>
        </w:rPr>
        <w:t xml:space="preserve"/>
        <w:tab/>
        <w:t xml:space="preserve">•</w:t>
        <w:tab/>
        <w:t xml:space="preserve">Digital identity/data vault providers</w:t>
      </w:r>
    </w:p>
    <w:p>
      <w:pPr/>
      <w:r>
        <w:rPr>
          <w:rFonts w:ascii="Helvetica Light" w:hAnsi="Helvetica Light" w:cs="Helvetica Light"/>
          <w:sz w:val="24"/>
          <w:sz-cs w:val="24"/>
        </w:rPr>
        <w:t xml:space="preserve"/>
        <w:tab/>
        <w:t xml:space="preserve">•</w:t>
        <w:tab/>
        <w:t xml:space="preserve">Employee benefits platforms</w:t>
      </w:r>
    </w:p>
    <w:p>
      <w:pPr/>
      <w:r>
        <w:rPr>
          <w:rFonts w:ascii="Helvetica Light" w:hAnsi="Helvetica Light" w:cs="Helvetica Light"/>
          <w:sz w:val="24"/>
          <w:sz-cs w:val="24"/>
        </w:rPr>
        <w:t xml:space="preserve"/>
        <w:tab/>
        <w:t xml:space="preserve">•</w:t>
        <w:tab/>
        <w:t xml:space="preserve">Private equity consolidation strategies</w:t>
      </w:r>
    </w:p>
    <w:p>
      <w:pPr/>
      <w:r>
        <w:rPr>
          <w:rFonts w:ascii="Helvetica Light" w:hAnsi="Helvetica Light" w:cs="Helvetica Light"/>
          <w:sz w:val="24"/>
          <w:sz-cs w:val="24"/>
        </w:rPr>
        <w:t xml:space="preserve">Preferred exit structure:</w:t>
      </w:r>
    </w:p>
    <w:p>
      <w:pPr/>
      <w:r>
        <w:rPr>
          <w:rFonts w:ascii="Helvetica Light" w:hAnsi="Helvetica Light" w:cs="Helvetica Light"/>
          <w:sz w:val="24"/>
          <w:sz-cs w:val="24"/>
        </w:rPr>
        <w:t xml:space="preserve">Cash acquisition combined with a perpetual licensing or legacy revenue participation element.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Authentication &amp; Trust Architecture</w:t>
      </w:r>
    </w:p>
    <w:p>
      <w:pPr/>
      <w:r>
        <w:rPr>
          <w:rFonts w:ascii="Helvetica Light" w:hAnsi="Helvetica Light" w:cs="Helvetica Light"/>
          <w:sz w:val="24"/>
          <w:sz-cs w:val="24"/>
        </w:rPr>
        <w:t xml:space="preserve">Passkey-first sign-in is now part of the product direction, subject to staging compatibility and recovery validation before production enablement.</w:t>
      </w:r>
    </w:p>
    <w:p>
      <w:pPr/>
      <w:r>
        <w:rPr>
          <w:rFonts w:ascii="Helvetica Light" w:hAnsi="Helvetica Light" w:cs="Helvetica Light"/>
          <w:sz w:val="24"/>
          <w:sz-cs w:val="24"/>
        </w:rPr>
        <w:t xml:space="preserve">Passkeys are intended to make routine account authentication faster and more phishing-resistant while retaining password/recovery fallback during transition.</w:t>
      </w:r>
    </w:p>
    <w:p>
      <w:pPr/>
      <w:r>
        <w:rPr>
          <w:rFonts w:ascii="Helvetica Light" w:hAnsi="Helvetica Light" w:cs="Helvetica Light"/>
          <w:sz w:val="24"/>
          <w:sz-cs w:val="24"/>
        </w:rPr>
        <w:t xml:space="preserve">Device authentication may use Face ID, Touch ID/fingerprint, Windows Hello, device PIN or a hardware security key depending on the user’s platform; Legacy Fortress does not need to receive or store the platform biometric template.</w:t>
      </w:r>
    </w:p>
    <w:p>
      <w:pPr/>
      <w:r>
        <w:rPr>
          <w:rFonts w:ascii="Helvetica Light" w:hAnsi="Helvetica Light" w:cs="Helvetica Light"/>
          <w:sz w:val="24"/>
          <w:sz-cs w:val="24"/>
        </w:rPr>
        <w:t xml:space="preserve">The platform preserves three separate assurance layers: L1 account authentication, L2 real-world identity verification, and L3 fresh presence for high-risk actions.</w:t>
      </w:r>
    </w:p>
    <w:p>
      <w:pPr/>
      <w:r>
        <w:rPr>
          <w:rFonts w:ascii="Helvetica Light" w:hAnsi="Helvetica Light" w:cs="Helvetica Light"/>
          <w:sz w:val="24"/>
          <w:sz-cs w:val="24"/>
        </w:rPr>
        <w:t xml:space="preserve">Authentication does not establish executor legal authority or automatically activate estate access; authority and access remain separately governed.</w:t>
      </w:r>
    </w:p>
    <w:p>
      <w:pPr/>
      <w:r>
        <w:rPr>
          <w:rFonts w:ascii="Helvetica Light" w:hAnsi="Helvetica Light" w:cs="Helvetica Light"/>
          <w:sz w:val="24"/>
          <w:sz-cs w:val="24"/>
        </w:rPr>
        <w:t xml:space="preserve">Continuous Build Programme</w:t>
      </w:r>
    </w:p>
    <w:p>
      <w:pPr/>
      <w:r>
        <w:rPr>
          <w:rFonts w:ascii="Helvetica Light" w:hAnsi="Helvetica Light" w:cs="Helvetica Light"/>
          <w:sz w:val="24"/>
          <w:sz-cs w:val="24"/>
        </w:rPr>
        <w:t xml:space="preserve">Passkey authentication, workspace routing, administrative dashboards, enterprise controls, verification operations, access/probate controls and privacy-safe analytics remain active continuous-build streams.</w:t>
      </w:r>
    </w:p>
    <w:p>
      <w:pPr/>
      <w:r>
        <w:rPr>
          <w:rFonts w:ascii="Helvetica Light" w:hAnsi="Helvetica Light" w:cs="Helvetica Light"/>
          <w:sz w:val="24"/>
          <w:sz-cs w:val="24"/>
        </w:rPr>
        <w:t xml:space="preserve">Major workflow changes require source validation, build/test checks and hosted staging UAT before they are treated as complete.</w:t>
      </w:r>
    </w:p>
    <w:p>
      <w:pPr/>
      <w:r>
        <w:rPr>
          <w:rFonts w:ascii="Helvetica Light" w:hAnsi="Helvetica Light" w:cs="Helvetica Light"/>
          <w:sz w:val="24"/>
          <w:sz-cs w:val="24"/>
        </w:rPr>
        <w:t xml:space="preserve">Production authentication and identity-verification changes remain subject to explicit approval, production-safe feature gating and rollback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product delivery order</w:t>
      </w:r>
    </w:p>
    <w:p>
      <w:pPr/>
      <w:r>
        <w:rPr>
          <w:rFonts w:ascii="Helvetica Light" w:hAnsi="Helvetica Light" w:cs="Helvetica Light"/>
          <w:sz w:val="24"/>
          <w:sz-cs w:val="24"/>
        </w:rPr>
        <w:t xml:space="preserve">1. Finish invitation acceptance and Linked Fortresses.</w:t>
      </w:r>
    </w:p>
    <w:p>
      <w:pPr/>
      <w:r>
        <w:rPr>
          <w:rFonts w:ascii="Helvetica Light" w:hAnsi="Helvetica Light" w:cs="Helvetica Light"/>
          <w:sz w:val="24"/>
          <w:sz-cs w:val="24"/>
        </w:rPr>
        <w:t xml:space="preserve">2. Runtime-prove relationship and access isolation.</w:t>
      </w:r>
    </w:p>
    <w:p>
      <w:pPr/>
      <w:r>
        <w:rPr>
          <w:rFonts w:ascii="Helvetica Light" w:hAnsi="Helvetica Light" w:cs="Helvetica Light"/>
          <w:sz w:val="24"/>
          <w:sz-cs w:val="24"/>
        </w:rPr>
        <w:t xml:space="preserve">3. Complete production-grade biometric identity verification.</w:t>
      </w:r>
    </w:p>
    <w:p>
      <w:pPr/>
      <w:r>
        <w:rPr>
          <w:rFonts w:ascii="Helvetica Light" w:hAnsi="Helvetica Light" w:cs="Helvetica Light"/>
          <w:sz w:val="24"/>
          <w:sz-cs w:val="24"/>
        </w:rPr>
        <w:t xml:space="preserve">4. Build central Free / Legacy Fortress+ entitlement architecture.</w:t>
      </w:r>
    </w:p>
    <w:p>
      <w:pPr/>
      <w:r>
        <w:rPr>
          <w:rFonts w:ascii="Helvetica Light" w:hAnsi="Helvetica Light" w:cs="Helvetica Light"/>
          <w:sz w:val="24"/>
          <w:sz-cs w:val="24"/>
        </w:rPr>
        <w:t xml:space="preserve">5. Build subscription/trial UX.</w:t>
      </w:r>
    </w:p>
    <w:p>
      <w:pPr/>
      <w:r>
        <w:rPr>
          <w:rFonts w:ascii="Helvetica Light" w:hAnsi="Helvetica Light" w:cs="Helvetica Light"/>
          <w:sz w:val="24"/>
          <w:sz-cs w:val="24"/>
        </w:rPr>
        <w:t xml:space="preserve">6. Add premium asset limits and discovery.</w:t>
      </w:r>
    </w:p>
    <w:p>
      <w:pPr/>
      <w:r>
        <w:rPr>
          <w:rFonts w:ascii="Helvetica Light" w:hAnsi="Helvetica Light" w:cs="Helvetica Light"/>
          <w:sz w:val="24"/>
          <w:sz-cs w:val="24"/>
        </w:rPr>
        <w:t xml:space="preserve">7. Build Connected Estate and financial integrations.</w:t>
      </w:r>
    </w:p>
    <w:p>
      <w:pPr/>
      <w:r>
        <w:rPr>
          <w:rFonts w:ascii="Helvetica Light" w:hAnsi="Helvetica Light" w:cs="Helvetica Light"/>
          <w:sz w:val="24"/>
          <w:sz-cs w:val="24"/>
        </w:rPr>
        <w:t xml:space="preserve">8. Add a lightweight iOS/Android application distribution layer using the same platform/services.</w:t>
      </w:r>
    </w:p>
    <w:p>
      <w:pPr/>
      <w:r>
        <w:rPr>
          <w:rFonts w:ascii="Helvetica Light" w:hAnsi="Helvetica Light" w:cs="Helvetica Light"/>
          <w:sz w:val="24"/>
          <w:sz-cs w:val="24"/>
        </w:rPr>
        <w:t xml:space="preserve">9. Continue safe legacy retirement throughout.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Free is intended to provide a basic Personal Vault/profile, limited core asset allowances, basic Action Centre/security/account functionality, and legitimate invitation receipt/acceptance and Linked Fortresses participation. Legacy Fortress+ is currently specified at an indicative £2.99/month with monthly, annual and possible one-month trial support subject to clear price, renewal and cancellation disclosure. Existing records remain visible when an entitlement limit is reached.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Financial Assets are a planned record category for cryptoassets, NFTs/Digital Collectibles and other digital investments. Legacy Fortress records reference, ownership, evidence and value information; it is not a custody service and ordinary forms must not collect wallet seed phrases or private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web platform remains the canonical source of truth. Native mobile apps are not part of the current immediate build and may later provide a lightweight distribution layer with native authentication, camera/document capture, push notifications, secure storage, sharing and invitation deep links.</w:t>
      </w:r>
    </w:p>
    <w:p>
      <w:pPr/>
      <w:r>
        <w:rPr>
          <w:rFonts w:ascii="Helvetica Light" w:hAnsi="Helvetica Light" w:cs="Helvetica Light"/>
          <w:sz w:val="24"/>
          <w:sz-cs w:val="24"/>
        </w:rPr>
        <w:t xml:space="preserve">Current Passkey Implementation Status - 4 September 2026</w:t>
      </w:r>
    </w:p>
    <w:p>
      <w:pPr/>
      <w:r>
        <w:rPr>
          <w:rFonts w:ascii="Helvetica Light" w:hAnsi="Helvetica Light" w:cs="Helvetica Light"/>
          <w:sz w:val="24"/>
          <w:sz-cs w:val="24"/>
        </w:rPr>
        <w:t xml:space="preserve">Staging candidate 302377e adds the first passkey authentication foundation without changing production or requiring a database migration.</w:t>
      </w:r>
    </w:p>
    <w:p>
      <w:pPr/>
      <w:r>
        <w:rPr>
          <w:rFonts w:ascii="Helvetica Light" w:hAnsi="Helvetica Light" w:cs="Helvetica Light"/>
          <w:sz w:val="24"/>
          <w:sz-cs w:val="24"/>
        </w:rPr>
        <w:t xml:space="preserve">The current implementation prevents an existing session at /sign-in from being treated as an automatic instruction to enter the Personal Vault dashboard. Validated return paths and actionable pending invitations retain routing precedence.</w:t>
      </w:r>
    </w:p>
    <w:p>
      <w:pPr/>
      <w:r>
        <w:rPr>
          <w:rFonts w:ascii="Helvetica Light" w:hAnsi="Helvetica Light" w:cs="Helvetica Light"/>
          <w:sz w:val="24"/>
          <w:sz-cs w:val="24"/>
        </w:rPr>
        <w:t xml:space="preserve">A staging-only passkey enrollment foundation, browser-support detection, safe fallback messaging, security-settings enrollment UI and biometric-privacy wording are now implemented behind explicit non-production controls.</w:t>
      </w:r>
    </w:p>
    <w:p>
      <w:pPr/>
      <w:r>
        <w:rPr>
          <w:rFonts w:ascii="Helvetica Light" w:hAnsi="Helvetica Light" w:cs="Helvetica Light"/>
          <w:sz w:val="24"/>
          <w:sz-cs w:val="24"/>
        </w:rPr>
        <w:t xml:space="preserve">Password authentication remains available. The current @supabase/supabase-js version is 2.98.0; its available WebAuthn capability supports MFA enrollment/step-up helpers but does not expose a supported passwordless/discoverable passkey sign-in API for the primary login journey. Routine passkey sign-in is therefore not yet exposed.</w:t>
      </w:r>
    </w:p>
    <w:p>
      <w:pPr/>
      <w:r>
        <w:rPr>
          <w:rFonts w:ascii="Helvetica Light" w:hAnsi="Helvetica Light" w:cs="Helvetica Light"/>
          <w:sz w:val="24"/>
          <w:sz-cs w:val="24"/>
        </w:rPr>
        <w:t xml:space="preserve">This capability remains part of the continuous build programme alongside Platform Administration, Enterprise administration, verification operations, access/probate controls, privacy-safe analytics and account/security management. Passkey work must not be treated as a substitute for the remaining administrative-dashboard and functional-interface development.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