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Legacy Fortress – Detailed Inclusion &amp; Exclusion Specification (MVP)</w:t>
      </w:r>
    </w:p>
    <w:p>
      <w:pPr>
        <w:pStyle w:val="Heading2"/>
      </w:pPr>
      <w:r>
        <w:t>A. INCLUDED IN MVP SOLUTION</w:t>
      </w:r>
    </w:p>
    <w:p>
      <w:pPr>
        <w:pStyle w:val="Heading3"/>
      </w:pPr>
      <w:r>
        <w:t>1. User Accounts &amp; Authentication</w:t>
      </w:r>
    </w:p>
    <w:p>
      <w:pPr>
        <w:pStyle w:val="ListBullet"/>
      </w:pPr>
      <w:r>
        <w:t>Email + password login</w:t>
      </w:r>
    </w:p>
    <w:p>
      <w:pPr>
        <w:pStyle w:val="ListBullet"/>
      </w:pPr>
      <w:r>
        <w:t>Password hashing (secure, non-decryptable storage)</w:t>
      </w:r>
    </w:p>
    <w:p>
      <w:pPr>
        <w:pStyle w:val="ListBullet"/>
      </w:pPr>
      <w:r>
        <w:t>Optional passkey / biometric login (if supported by browser/device)</w:t>
      </w:r>
    </w:p>
    <w:p>
      <w:pPr>
        <w:pStyle w:val="ListBullet"/>
      </w:pPr>
      <w:r>
        <w:t>Session management &amp; basic security protections (rate limiting, lockout)</w:t>
      </w:r>
    </w:p>
    <w:p>
      <w:pPr>
        <w:pStyle w:val="Heading3"/>
      </w:pPr>
      <w:r>
        <w:t>2. Wallet / Vault Functionality</w:t>
      </w:r>
    </w:p>
    <w:p>
      <w:pPr>
        <w:pStyle w:val="ListBullet"/>
      </w:pPr>
      <w:r>
        <w:t>Creation of individual digital wallet</w:t>
      </w:r>
    </w:p>
    <w:p>
      <w:pPr>
        <w:pStyle w:val="ListBullet"/>
      </w:pPr>
      <w:r>
        <w:t>Asset registry categories (Will, Pensions, Investments, Property, Business Interests, Wishes, Other)</w:t>
      </w:r>
    </w:p>
    <w:p>
      <w:pPr>
        <w:pStyle w:val="ListBullet"/>
      </w:pPr>
      <w:r>
        <w:t>Secure notes fields for sensitive reference information</w:t>
      </w:r>
    </w:p>
    <w:p>
      <w:pPr>
        <w:pStyle w:val="ListBullet"/>
      </w:pPr>
      <w:r>
        <w:t>Edit, update, and delete functionality</w:t>
      </w:r>
    </w:p>
    <w:p>
      <w:pPr>
        <w:pStyle w:val="Heading3"/>
      </w:pPr>
      <w:r>
        <w:t>3. Document Storage</w:t>
      </w:r>
    </w:p>
    <w:p>
      <w:pPr>
        <w:pStyle w:val="ListBullet"/>
      </w:pPr>
      <w:r>
        <w:t>Upload of standard document types (PDF, JPG, PNG, DOCX)</w:t>
      </w:r>
    </w:p>
    <w:p>
      <w:pPr>
        <w:pStyle w:val="ListBullet"/>
      </w:pPr>
      <w:r>
        <w:t>Encrypted storage at rest via cloud provider</w:t>
      </w:r>
    </w:p>
    <w:p>
      <w:pPr>
        <w:pStyle w:val="ListBullet"/>
      </w:pPr>
      <w:r>
        <w:t>Secure access via signed URLs</w:t>
      </w:r>
    </w:p>
    <w:p>
      <w:pPr>
        <w:pStyle w:val="ListBullet"/>
      </w:pPr>
      <w:r>
        <w:t>Document tagging to asset categories</w:t>
      </w:r>
    </w:p>
    <w:p>
      <w:pPr>
        <w:pStyle w:val="Heading3"/>
      </w:pPr>
      <w:r>
        <w:t>4. Encryption Model</w:t>
      </w:r>
    </w:p>
    <w:p>
      <w:pPr>
        <w:pStyle w:val="ListBullet"/>
      </w:pPr>
      <w:r>
        <w:t>Wallet Master Key (WMK) concept for secure notes</w:t>
      </w:r>
    </w:p>
    <w:p>
      <w:pPr>
        <w:pStyle w:val="ListBullet"/>
      </w:pPr>
      <w:r>
        <w:t>Sensitive text encrypted within application layer</w:t>
      </w:r>
    </w:p>
    <w:p>
      <w:pPr>
        <w:pStyle w:val="ListBullet"/>
      </w:pPr>
      <w:r>
        <w:t>TLS/HTTPS enforced</w:t>
      </w:r>
    </w:p>
    <w:p>
      <w:pPr>
        <w:pStyle w:val="ListBullet"/>
      </w:pPr>
      <w:r>
        <w:t>Basic audit logging of key actions</w:t>
      </w:r>
    </w:p>
    <w:p>
      <w:pPr>
        <w:pStyle w:val="Heading3"/>
      </w:pPr>
      <w:r>
        <w:t>5. Sharing &amp; Permissions</w:t>
      </w:r>
    </w:p>
    <w:p>
      <w:pPr>
        <w:pStyle w:val="ListBullet"/>
      </w:pPr>
      <w:r>
        <w:t>Invite by email</w:t>
      </w:r>
    </w:p>
    <w:p>
      <w:pPr>
        <w:pStyle w:val="ListBullet"/>
      </w:pPr>
      <w:r>
        <w:t>Role-based access (Owner, Viewer, Executor)</w:t>
      </w:r>
    </w:p>
    <w:p>
      <w:pPr>
        <w:pStyle w:val="ListBullet"/>
      </w:pPr>
      <w:r>
        <w:t>Owner can revoke access at any time</w:t>
      </w:r>
    </w:p>
    <w:p>
      <w:pPr>
        <w:pStyle w:val="ListBullet"/>
      </w:pPr>
      <w:r>
        <w:t>Basic access logging</w:t>
      </w:r>
    </w:p>
    <w:p>
      <w:pPr>
        <w:pStyle w:val="Heading3"/>
      </w:pPr>
      <w:r>
        <w:t>6. Executor Unlock Workflow</w:t>
      </w:r>
    </w:p>
    <w:p>
      <w:pPr>
        <w:pStyle w:val="ListBullet"/>
      </w:pPr>
      <w:r>
        <w:t>Executor upload of death certificate</w:t>
      </w:r>
    </w:p>
    <w:p>
      <w:pPr>
        <w:pStyle w:val="ListBullet"/>
      </w:pPr>
      <w:r>
        <w:t>Manual admin review process</w:t>
      </w:r>
    </w:p>
    <w:p>
      <w:pPr>
        <w:pStyle w:val="ListBullet"/>
      </w:pPr>
      <w:r>
        <w:t>Admin approval triggers executor full access</w:t>
      </w:r>
    </w:p>
    <w:p>
      <w:pPr>
        <w:pStyle w:val="ListBullet"/>
      </w:pPr>
      <w:r>
        <w:t>Audit record of approval decision</w:t>
      </w:r>
    </w:p>
    <w:p>
      <w:pPr>
        <w:pStyle w:val="Heading3"/>
      </w:pPr>
      <w:r>
        <w:t>7. Subscription Billing</w:t>
      </w:r>
    </w:p>
    <w:p>
      <w:pPr>
        <w:pStyle w:val="ListBullet"/>
      </w:pPr>
      <w:r>
        <w:t>Stripe subscription integration (£3/month)</w:t>
      </w:r>
    </w:p>
    <w:p>
      <w:pPr>
        <w:pStyle w:val="ListBullet"/>
      </w:pPr>
      <w:r>
        <w:t>Webhook handling for active/cancelled/past_due states</w:t>
      </w:r>
    </w:p>
    <w:p>
      <w:pPr>
        <w:pStyle w:val="ListBullet"/>
      </w:pPr>
      <w:r>
        <w:t>Access control based on subscription status</w:t>
      </w:r>
    </w:p>
    <w:p>
      <w:pPr>
        <w:pStyle w:val="Heading3"/>
      </w:pPr>
      <w:r>
        <w:t>8. Reminder System</w:t>
      </w:r>
    </w:p>
    <w:p>
      <w:pPr>
        <w:pStyle w:val="ListBullet"/>
      </w:pPr>
      <w:r>
        <w:t>User-selectable review interval (e.g., 3/6/12 months)</w:t>
      </w:r>
    </w:p>
    <w:p>
      <w:pPr>
        <w:pStyle w:val="ListBullet"/>
      </w:pPr>
      <w:r>
        <w:t>Email notification reminders</w:t>
      </w:r>
    </w:p>
    <w:p>
      <w:pPr>
        <w:pStyle w:val="ListBullet"/>
      </w:pPr>
      <w:r>
        <w:t>Ability to update reminder preferences</w:t>
      </w:r>
    </w:p>
    <w:p>
      <w:pPr>
        <w:pStyle w:val="Heading3"/>
      </w:pPr>
      <w:r>
        <w:t>9. Basic Admin Panel</w:t>
      </w:r>
    </w:p>
    <w:p>
      <w:pPr>
        <w:pStyle w:val="ListBullet"/>
      </w:pPr>
      <w:r>
        <w:t>User lookup</w:t>
      </w:r>
    </w:p>
    <w:p>
      <w:pPr>
        <w:pStyle w:val="ListBullet"/>
      </w:pPr>
      <w:r>
        <w:t>Executor verification queue</w:t>
      </w:r>
    </w:p>
    <w:p>
      <w:pPr>
        <w:pStyle w:val="ListBullet"/>
      </w:pPr>
      <w:r>
        <w:t>Basic support management tools</w:t>
      </w:r>
    </w:p>
    <w:p>
      <w:pPr>
        <w:pStyle w:val="Heading2"/>
      </w:pPr>
      <w:r>
        <w:t>B. EXCLUDED FROM MVP SOLUTION</w:t>
      </w:r>
    </w:p>
    <w:p>
      <w:pPr>
        <w:pStyle w:val="ListBullet"/>
      </w:pPr>
      <w:r>
        <w:t>Government API-based death certificate verification</w:t>
      </w:r>
    </w:p>
    <w:p>
      <w:pPr>
        <w:pStyle w:val="ListBullet"/>
      </w:pPr>
      <w:r>
        <w:t>Automatic document authenticity validation</w:t>
      </w:r>
    </w:p>
    <w:p>
      <w:pPr>
        <w:pStyle w:val="ListBullet"/>
      </w:pPr>
      <w:r>
        <w:t>Banking or financial system integrations</w:t>
      </w:r>
    </w:p>
    <w:p>
      <w:pPr>
        <w:pStyle w:val="ListBullet"/>
      </w:pPr>
      <w:r>
        <w:t>Transaction execution capability</w:t>
      </w:r>
    </w:p>
    <w:p>
      <w:pPr>
        <w:pStyle w:val="ListBullet"/>
      </w:pPr>
      <w:r>
        <w:t>Blockchain wallet or seed phrase systems</w:t>
      </w:r>
    </w:p>
    <w:p>
      <w:pPr>
        <w:pStyle w:val="ListBullet"/>
      </w:pPr>
      <w:r>
        <w:t>Advanced multi-party cryptographic recovery systems</w:t>
      </w:r>
    </w:p>
    <w:p>
      <w:pPr>
        <w:pStyle w:val="ListBullet"/>
      </w:pPr>
      <w:r>
        <w:t>Enterprise API integrations</w:t>
      </w:r>
    </w:p>
    <w:p>
      <w:pPr>
        <w:pStyle w:val="ListBullet"/>
      </w:pPr>
      <w:r>
        <w:t>Advanced reporting &amp; analytics dashboards</w:t>
      </w:r>
    </w:p>
    <w:p>
      <w:pPr>
        <w:pStyle w:val="ListBullet"/>
      </w:pPr>
      <w:r>
        <w:t>Native mobile applications (PWA/web app only; optional wrapper only)</w:t>
      </w:r>
    </w:p>
    <w:p>
      <w:pPr>
        <w:pStyle w:val="ListBullet"/>
      </w:pPr>
      <w:r>
        <w:t>AI-based document classification or automation</w:t>
      </w:r>
    </w:p>
    <w:p>
      <w:pPr>
        <w:pStyle w:val="ListBullet"/>
      </w:pPr>
      <w:r>
        <w:t>Full compliance/legal advisory services</w:t>
      </w:r>
    </w:p>
    <w:p>
      <w:pPr>
        <w:pStyle w:val="ListBullet"/>
      </w:pPr>
      <w:r>
        <w:t>White-label multi-tenant enterprise architecture</w:t>
      </w:r>
    </w:p>
    <w:p>
      <w:pPr>
        <w:pStyle w:val="Heading2"/>
      </w:pPr>
      <w:r>
        <w:t>C. FUTURE PHASE OPTIONS (NOT IN MVP)</w:t>
      </w:r>
    </w:p>
    <w:p>
      <w:pPr>
        <w:pStyle w:val="ListBullet"/>
      </w:pPr>
      <w:r>
        <w:t>Government death notification integration (if available)</w:t>
      </w:r>
    </w:p>
    <w:p>
      <w:pPr>
        <w:pStyle w:val="ListBullet"/>
      </w:pPr>
      <w:r>
        <w:t>Trusted contact multi-party recovery</w:t>
      </w:r>
    </w:p>
    <w:p>
      <w:pPr>
        <w:pStyle w:val="ListBullet"/>
      </w:pPr>
      <w:r>
        <w:t>Enterprise licensing dashboard expansion</w:t>
      </w:r>
    </w:p>
    <w:p>
      <w:pPr>
        <w:pStyle w:val="ListBullet"/>
      </w:pPr>
      <w:r>
        <w:t>Mobile native applications</w:t>
      </w:r>
    </w:p>
    <w:p>
      <w:pPr>
        <w:pStyle w:val="ListBullet"/>
      </w:pPr>
      <w:r>
        <w:t>Enhanced encryption model (full end-to-end zero-knowledge)</w:t>
      </w:r>
    </w:p>
    <w:p>
      <w:pPr>
        <w:pStyle w:val="ListBullet"/>
      </w:pPr>
      <w:r>
        <w:t>Advanced audit &amp; compliance reporting</w:t>
      </w:r>
    </w:p>
    <w:p>
      <w:r>
        <w:br w:type="page"/>
      </w:r>
    </w:p>
    <w:p>
      <w:pPr>
        <w:pStyle w:val="Heading1"/>
      </w:pPr>
      <w:r>
        <w:t>D. 20 AUGUST 2026 GOVERNANCE ADDENDUM — MANDATORY PLATFORM FOUNDATION</w:t>
      </w:r>
    </w:p>
    <w:p>
      <w:r>
        <w:t>This addendum records product and data-protection requirements that supersede any earlier MVP assumption where there is a conflict. It does not assert that these capabilities are already implemented.</w:t>
      </w:r>
    </w:p>
    <w:p>
      <w:pPr>
        <w:pStyle w:val="Heading2"/>
      </w:pPr>
      <w:r>
        <w:t>1. People, roles and permissions</w:t>
      </w:r>
    </w:p>
    <w:p>
      <w:pPr>
        <w:pStyle w:val="ListBullet"/>
      </w:pPr>
      <w:r>
        <w:t>Use one canonical People &amp; Access model across the Personal Vault.</w:t>
      </w:r>
    </w:p>
    <w:p>
      <w:pPr>
        <w:pStyle w:val="ListBullet"/>
      </w:pPr>
      <w:r>
        <w:t>Separate person type (Family/Loved One, Professional Adviser, Other Trusted Person), legal/estate roles (including Beneficiary, Executor, Trustee, Representative/Attorney, Professional Adviser) and permissions.</w:t>
      </w:r>
    </w:p>
    <w:p>
      <w:pPr>
        <w:pStyle w:val="ListBullet"/>
      </w:pPr>
      <w:r>
        <w:t>Allow multiple roles per person.</w:t>
      </w:r>
    </w:p>
    <w:p>
      <w:pPr>
        <w:pStyle w:val="ListBullet"/>
      </w:pPr>
      <w:r>
        <w:t>Permissions must support view, download and controlled document contribution as distinct grants.</w:t>
      </w:r>
    </w:p>
    <w:p>
      <w:pPr>
        <w:pStyle w:val="ListBullet"/>
      </w:pPr>
      <w:r>
        <w:t>Only an eligible Professional Adviser may receive document-contribution permission in the normal pre-death workflow.</w:t>
      </w:r>
    </w:p>
    <w:p>
      <w:pPr>
        <w:pStyle w:val="ListBullet"/>
      </w:pPr>
      <w:r>
        <w:t>Document contribution creates a new immutable document/version and must not overwrite a historical original.</w:t>
      </w:r>
    </w:p>
    <w:p>
      <w:pPr>
        <w:pStyle w:val="Heading2"/>
      </w:pPr>
      <w:r>
        <w:t>2. Invitation and identity verification</w:t>
      </w:r>
    </w:p>
    <w:p>
      <w:pPr>
        <w:pStyle w:val="ListBullet"/>
      </w:pPr>
      <w:r>
        <w:t>Invitation acceptance must not by itself grant protected vault access where identity verification is required.</w:t>
      </w:r>
    </w:p>
    <w:p>
      <w:pPr>
        <w:pStyle w:val="ListBullet"/>
      </w:pPr>
      <w:r>
        <w:t>Target invitation states: draft, sent, accepted, identity_required, verification_submitted, verified, active, plus delivery_failed/expired/revoked/rejected as applicable.</w:t>
      </w:r>
    </w:p>
    <w:p>
      <w:pPr>
        <w:pStyle w:val="ListBullet"/>
      </w:pPr>
      <w:r>
        <w:t>Photo-ID plus camera facial/liveness matching is identity verification and biometric recognition, distinct from optional device/passkey biometric login.</w:t>
      </w:r>
    </w:p>
    <w:p>
      <w:pPr>
        <w:pStyle w:val="ListBullet"/>
      </w:pPr>
      <w:r>
        <w:t>Biometric recognition requires approved privacy governance, including a DPIA, lawful basis, Article 9 special-category condition, provider/controller/processor analysis, retention rules and manual exception handling before production use.</w:t>
      </w:r>
    </w:p>
    <w:p>
      <w:pPr>
        <w:pStyle w:val="ListBullet"/>
      </w:pPr>
      <w:r>
        <w:t>Access restrictions must be server/API/database/RLS enforced.</w:t>
      </w:r>
    </w:p>
    <w:p>
      <w:pPr>
        <w:pStyle w:val="Heading2"/>
      </w:pPr>
      <w:r>
        <w:t>3. Estate access after death</w:t>
      </w:r>
    </w:p>
    <w:p>
      <w:pPr>
        <w:pStyle w:val="ListBullet"/>
      </w:pPr>
      <w:r>
        <w:t>Estate access is a separate workflow requiring claimant authentication/re-verification, death certificate, probate/authority evidence where applicable and Legacy Fortress administrative review.</w:t>
      </w:r>
    </w:p>
    <w:p>
      <w:pPr>
        <w:pStyle w:val="ListBullet"/>
      </w:pPr>
      <w:r>
        <w:t>Admin decision must be auditable with claimant, evidence references, decision, reason, administrator and timestamp.</w:t>
      </w:r>
    </w:p>
    <w:p>
      <w:pPr>
        <w:pStyle w:val="ListBullet"/>
      </w:pPr>
      <w:r>
        <w:t>Approved estate access must not permit overwrite or deletion of the deceased wallet holder’s historic original documents.</w:t>
      </w:r>
    </w:p>
    <w:p>
      <w:pPr>
        <w:pStyle w:val="ListBullet"/>
      </w:pPr>
      <w:r>
        <w:t>Post-death evidence must be stored separately with provenance.</w:t>
      </w:r>
    </w:p>
    <w:p>
      <w:pPr>
        <w:pStyle w:val="Heading2"/>
      </w:pPr>
      <w:r>
        <w:t>4. Enterprise licensing and sponsored customers</w:t>
      </w:r>
    </w:p>
    <w:p>
      <w:pPr>
        <w:pStyle w:val="ListBullet"/>
      </w:pPr>
      <w:r>
        <w:t>A sponsored customer remains a Legacy Fortress user/customer and wallet holder; the sponsor funds an entitlement but does not own the wallet.</w:t>
      </w:r>
    </w:p>
    <w:p>
      <w:pPr>
        <w:pStyle w:val="ListBullet"/>
      </w:pPr>
      <w:r>
        <w:t>Canonical relationship target: Organisation -&gt; Licence/Contract -&gt; Registration Campaign -&gt; Sponsored Entitlement -&gt; Legacy Fortress User/Wallet.</w:t>
      </w:r>
    </w:p>
    <w:p>
      <w:pPr>
        <w:pStyle w:val="ListBullet"/>
      </w:pPr>
      <w:r>
        <w:t>Partner dashboards must be purpose-limited and data-minimised. Sponsorship alone does not grant access to wills, financial documents, beneficiary details, notes or other protected vault content.</w:t>
      </w:r>
    </w:p>
    <w:p>
      <w:pPr>
        <w:pStyle w:val="ListBullet"/>
      </w:pPr>
      <w:r>
        <w:t>Analytics eligibility and marketing eligibility are separate.</w:t>
      </w:r>
    </w:p>
    <w:p>
      <w:pPr>
        <w:pStyle w:val="Heading2"/>
      </w:pPr>
      <w:r>
        <w:t>5. UK GDPR administration</w:t>
      </w:r>
    </w:p>
    <w:p>
      <w:pPr>
        <w:pStyle w:val="ListBullet"/>
      </w:pPr>
      <w:r>
        <w:t>Legacy Fortress Admin must support case management for access/SAR, rectification, erasure, restriction, portability, objection, consent withdrawal and privacy enquiries.</w:t>
      </w:r>
    </w:p>
    <w:p>
      <w:pPr>
        <w:pStyle w:val="ListBullet"/>
      </w:pPr>
      <w:r>
        <w:t>Operational workflows must capture received date, calculated due date, requester identity verification, scope, assigned administrator, decision, response date and audit trail.</w:t>
      </w:r>
    </w:p>
    <w:p>
      <w:pPr>
        <w:pStyle w:val="ListBullet"/>
      </w:pPr>
      <w:r>
        <w:t>One calendar month is the default operational deadline for applicable individual-rights requests, subject to the applicable legal extension rules.</w:t>
      </w:r>
    </w:p>
    <w:p>
      <w:pPr>
        <w:pStyle w:val="ListBullet"/>
      </w:pPr>
      <w:r>
        <w:t>Direct-marketing objections must create immediate suppression from campaign selection/exports.</w:t>
      </w:r>
    </w:p>
    <w:p>
      <w:pPr>
        <w:pStyle w:val="ListBullet"/>
      </w:pPr>
      <w:r>
        <w:t>Retention schedules, review dates, deletion/anonymisation, legal holds/exceptions and backup-expiry handling must be implemented and auditable.</w:t>
      </w:r>
    </w:p>
    <w:p>
      <w:pPr>
        <w:pStyle w:val="Heading2"/>
      </w:pPr>
      <w:r>
        <w:t>6. Partner data sharing and marketing</w:t>
      </w:r>
    </w:p>
    <w:p>
      <w:pPr>
        <w:pStyle w:val="ListBullet"/>
      </w:pPr>
      <w:r>
        <w:t>Service Terms acceptance, privacy notice acceptance/acknowledgement, sponsor relationship, data-sharing purpose, Legacy Fortress marketing and named-partner marketing must be recorded separately as applicable.</w:t>
      </w:r>
    </w:p>
    <w:p>
      <w:pPr>
        <w:pStyle w:val="ListBullet"/>
      </w:pPr>
      <w:r>
        <w:t>Do not infer partner direct-marketing permission from general Terms &amp; Conditions.</w:t>
      </w:r>
    </w:p>
    <w:p>
      <w:pPr>
        <w:pStyle w:val="ListBullet"/>
      </w:pPr>
      <w:r>
        <w:t>Controller-to-controller sharing must have a documented purpose, lawful basis, data categories, recipient, retention, individual-rights and security position, with a data-sharing agreement or joint-controller arrangement where appropriate.</w:t>
      </w:r>
    </w:p>
    <w:p>
      <w:pPr>
        <w:pStyle w:val="ListBullet"/>
      </w:pPr>
      <w:r>
        <w:t>Electronic marketing must comply with PECR as well as UK GDPR; consent/soft-opt-in eligibility must be assessed for the actual sender and relationship.</w:t>
      </w:r>
    </w:p>
    <w:p>
      <w:pPr>
        <w:pStyle w:val="Heading2"/>
      </w:pPr>
      <w:r>
        <w:t>7. Release gate</w:t>
      </w:r>
    </w:p>
    <w:p>
      <w:r>
        <w:t>These controls are mandatory production-readiness requirements even where they extend beyond the original MVP list. Development may be staged, but the product must not represent an unimplemented control as functional or compliant.</w:t>
      </w:r>
    </w:p>
    <w:p>
      <w:pPr>
        <w:pStyle w:val="Heading2"/>
      </w:pPr>
      <w:r>
        <w:t>ICO sources reviewed</w:t>
      </w:r>
    </w:p>
    <w:p>
      <w:pPr>
        <w:pStyle w:val="ListBullet"/>
      </w:pPr>
      <w:r>
        <w:t>UK GDPR guidance and resources — https://ico.org.uk/for-organisations/uk-gdpr-guidance-and-resources/</w:t>
      </w:r>
    </w:p>
    <w:p>
      <w:pPr>
        <w:pStyle w:val="ListBullet"/>
      </w:pPr>
      <w:r>
        <w:t>A guide to lawful basis</w:t>
      </w:r>
    </w:p>
    <w:p>
      <w:pPr>
        <w:pStyle w:val="ListBullet"/>
      </w:pPr>
      <w:r>
        <w:t>Data sharing: a code of practice (lawful basis, agreements and checklist)</w:t>
      </w:r>
    </w:p>
    <w:p>
      <w:pPr>
        <w:pStyle w:val="ListBullet"/>
      </w:pPr>
      <w:r>
        <w:t>Controllers and processors</w:t>
      </w:r>
    </w:p>
    <w:p>
      <w:pPr>
        <w:pStyle w:val="ListBullet"/>
      </w:pPr>
      <w:r>
        <w:t>Special category data and biometric recognition guidance</w:t>
      </w:r>
    </w:p>
    <w:p>
      <w:pPr>
        <w:pStyle w:val="ListBullet"/>
      </w:pPr>
      <w:r>
        <w:t>Data Protection Impact Assessments (DPIAs)</w:t>
      </w:r>
    </w:p>
    <w:p>
      <w:pPr>
        <w:pStyle w:val="ListBullet"/>
      </w:pPr>
      <w:r>
        <w:t>Individual rights and subject access requests</w:t>
      </w:r>
    </w:p>
    <w:p>
      <w:pPr>
        <w:pStyle w:val="ListBullet"/>
      </w:pPr>
      <w:r>
        <w:t>Storage limitation and accuracy</w:t>
      </w:r>
    </w:p>
    <w:p>
      <w:pPr>
        <w:pStyle w:val="ListBullet"/>
      </w:pPr>
      <w:r>
        <w:t>Integrity and confidentiality (security)</w:t>
      </w:r>
    </w:p>
    <w:p>
      <w:pPr>
        <w:pStyle w:val="ListBullet"/>
      </w:pPr>
      <w:r>
        <w:t>Direct marketing / PECR and electronic mail marketing guidance</w:t>
      </w:r>
    </w:p>
    <w:p>
      <w:r>
        <w:t>Review note: several ICO guidance pages state that they are under review following the Data (Use and Access) Act. Re-check current ICO guidance and obtain formal privacy/legal approval before production release of biometric recognition, partner data sharing and partner marketing.</w:t>
      </w:r>
    </w:p>
    <w:p>
      <w:pPr>
        <w:pStyle w:val="Heading1"/>
      </w:pPr>
      <w:r>
        <w:t>E. 20 AUGUST 2026 SECURITY &amp; ESTATE-LOCK ADDENDUM</w:t>
      </w:r>
    </w:p>
    <w:p>
      <w:r>
        <w:t>This addendum extends and supersedes earlier assumptions where required. It records approved target behaviour and does not assert that the current repository already implements it.</w:t>
      </w:r>
    </w:p>
    <w:p>
      <w:pPr>
        <w:pStyle w:val="Heading2"/>
      </w:pPr>
      <w:r>
        <w:t>1. Progressive consent and partner communications</w:t>
      </w:r>
    </w:p>
    <w:p>
      <w:pPr>
        <w:pStyle w:val="ListBullet"/>
      </w:pPr>
      <w:r>
        <w:t>Do not overload onboarding with optional consent. Obtain consent/preferences when required and at the point the relevant optional or high-risk purpose arises, with a concise explanation of user benefit.</w:t>
      </w:r>
    </w:p>
    <w:p>
      <w:pPr>
        <w:pStyle w:val="ListBullet"/>
      </w:pPr>
      <w:r>
        <w:t>Record service processing, sponsor relationship, Legacy Fortress marketing, named-partner marketing, permitted topic/purpose, channel and communication frequency separately where applicable.</w:t>
      </w:r>
    </w:p>
    <w:p>
      <w:pPr>
        <w:pStyle w:val="ListBullet"/>
      </w:pPr>
      <w:r>
        <w:t>Sponsorship must never imply blanket marketing permission. Partner communications must respect the user-selected purpose/channel/frequency and immediate suppression/withdrawal state.</w:t>
      </w:r>
    </w:p>
    <w:p>
      <w:pPr>
        <w:pStyle w:val="ListBullet"/>
      </w:pPr>
      <w:r>
        <w:t>Prefer closed-loop partner activation in which Legacy Fortress selects eligible recipients and delivers approved communications without providing an unrestricted customer identity list.</w:t>
      </w:r>
    </w:p>
    <w:p>
      <w:pPr>
        <w:pStyle w:val="Heading2"/>
      </w:pPr>
      <w:r>
        <w:t>2. Risk-based identity verification</w:t>
      </w:r>
    </w:p>
    <w:p>
      <w:pPr>
        <w:pStyle w:val="ListBullet"/>
      </w:pPr>
      <w:r>
        <w:t>Level 1: authenticated account/session.</w:t>
      </w:r>
    </w:p>
    <w:p>
      <w:pPr>
        <w:pStyle w:val="ListBullet"/>
      </w:pPr>
      <w:r>
        <w:t>Level 2: identity verified using photo-ID plus a 1:1 live camera/selfie match under the approved identity-verification workflow.</w:t>
      </w:r>
    </w:p>
    <w:p>
      <w:pPr>
        <w:pStyle w:val="ListBullet"/>
      </w:pPr>
      <w:r>
        <w:t>Level 3: presence re-verified using a fresh camera/liveness challenge and 1:1 comparison immediately before a high-risk action.</w:t>
      </w:r>
    </w:p>
    <w:p>
      <w:pPr>
        <w:pStyle w:val="ListBullet"/>
      </w:pPr>
      <w:r>
        <w:t>High-risk permission changes, executor/trustee/representative changes and estate/death claims must use server-enforced step-up verification at the policy-defined level.</w:t>
      </w:r>
    </w:p>
    <w:p>
      <w:pPr>
        <w:pStyle w:val="ListBullet"/>
      </w:pPr>
      <w:r>
        <w:t>Identity verification must use a provider abstraction. An internal experimental verifier may be used in controlled development/UAT but must be distinguishable from production assurance and must not be represented as official document-authenticity certification.</w:t>
      </w:r>
    </w:p>
    <w:p>
      <w:pPr>
        <w:pStyle w:val="Heading2"/>
      </w:pPr>
      <w:r>
        <w:t>3. Death Lock and immutable estate transition</w:t>
      </w:r>
    </w:p>
    <w:p>
      <w:pPr>
        <w:pStyle w:val="ListBullet"/>
      </w:pPr>
      <w:r>
        <w:t>Canonical vault lifecycle: OWNER_ACTIVE -&gt; DEATH_REPORTED -&gt; PROTECTIVE_LOCK -&gt; ESTATE_LOCKED.</w:t>
      </w:r>
    </w:p>
    <w:p>
      <w:pPr>
        <w:pStyle w:val="ListBullet"/>
      </w:pPr>
      <w:r>
        <w:t>PROTECTIVE_LOCK is a defensive state while the death claim is investigated and must block ordinary mutation without by itself granting estate access.</w:t>
      </w:r>
    </w:p>
    <w:p>
      <w:pPr>
        <w:pStyle w:val="ListBullet"/>
      </w:pPr>
      <w:r>
        <w:t>ESTATE_LOCKED makes the deceased owner’s historical vault immutable through normal product workflows.</w:t>
      </w:r>
    </w:p>
    <w:p>
      <w:pPr>
        <w:pStyle w:val="ListBullet"/>
      </w:pPr>
      <w:r>
        <w:t>Post-death evidence/administration must be appended in a separate Estate Administration context with full provenance.</w:t>
      </w:r>
    </w:p>
    <w:p>
      <w:pPr>
        <w:pStyle w:val="ListBullet"/>
      </w:pPr>
      <w:r>
        <w:t>Representative/claimant access is a separate lifecycle from vault state. Suspending or revoking a compromised executor/representative must leave the deceased vault locked.</w:t>
      </w:r>
    </w:p>
    <w:p>
      <w:pPr>
        <w:pStyle w:val="ListBullet"/>
      </w:pPr>
      <w:r>
        <w:t>An emergency Suspend Estate Access action must block estate sessions, downloads, key/decrypt release and new estate additions while preserving evidence and the lock.</w:t>
      </w:r>
    </w:p>
    <w:p>
      <w:pPr>
        <w:pStyle w:val="Heading2"/>
      </w:pPr>
      <w:r>
        <w:t>4. False or malicious death report recovery</w:t>
      </w:r>
    </w:p>
    <w:p>
      <w:pPr>
        <w:pStyle w:val="ListBullet"/>
      </w:pPr>
      <w:r>
        <w:t>Exceptional path: DEATH_STATUS_DISPUTED -&gt; OWNER_RECOVERY -&gt; OWNER_ACTIVE.</w:t>
      </w:r>
    </w:p>
    <w:p>
      <w:pPr>
        <w:pStyle w:val="ListBullet"/>
      </w:pPr>
      <w:r>
        <w:t>Recovery must require a security case, suspension of claimant access, fresh high-assurance identity/presence verification, investigation, dual authorised Legacy Fortress approval and immutable audit evidence.</w:t>
      </w:r>
    </w:p>
    <w:p>
      <w:pPr>
        <w:pStyle w:val="ListBullet"/>
      </w:pPr>
      <w:r>
        <w:t>Reinstating a living owner must never be an ordinary single-admin unlock toggle.</w:t>
      </w:r>
    </w:p>
    <w:p>
      <w:pPr>
        <w:pStyle w:val="ListBullet"/>
      </w:pPr>
      <w:r>
        <w:t>Recovery must preserve forensic/audit records of the false or malicious death event and any attempted estate access.</w:t>
      </w:r>
    </w:p>
    <w:p>
      <w:pPr>
        <w:pStyle w:val="Heading2"/>
      </w:pPr>
      <w:r>
        <w:t>5. Encryption and recovery target</w:t>
      </w:r>
    </w:p>
    <w:p>
      <w:pPr>
        <w:pStyle w:val="ListBullet"/>
      </w:pPr>
      <w:r>
        <w:t>Target envelope encryption: user/vault data encrypted with data-encryption keys, with those keys wrapped by separately protected key-encryption/recovery material.</w:t>
      </w:r>
    </w:p>
    <w:p>
      <w:pPr>
        <w:pStyle w:val="ListBullet"/>
      </w:pPr>
      <w:r>
        <w:t>Usable recovery keys must not be stored in the same ordinary security boundary as encrypted application data.</w:t>
      </w:r>
    </w:p>
    <w:p>
      <w:pPr>
        <w:pStyle w:val="ListBullet"/>
      </w:pPr>
      <w:r>
        <w:t>Estate recovery should use separately protected wrapped recovery material, least privilege, dual control and audited key release, preferably through managed KMS/HSM or equivalent controls.</w:t>
      </w:r>
    </w:p>
    <w:p>
      <w:pPr>
        <w:pStyle w:val="ListBullet"/>
      </w:pPr>
      <w:r>
        <w:t>A scheduled reconciliation may verify that every active vault has valid recovery material, but recoverability must not depend on a weekly plaintext-key export.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