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Legacy Fortress</w:t>
        <w:br/>
        <w:t>UX, Data Capture &amp; Interaction Standards</w:t>
      </w:r>
    </w:p>
    <w:p>
      <w:pPr>
        <w:jc w:val="center"/>
      </w:pPr>
      <w:r>
        <w:rPr>
          <w:i/>
          <w:color w:val="5A5A5A"/>
          <w:sz w:val="21"/>
        </w:rPr>
        <w:t>Single reference standard for form controls, uploads, document handling, field extraction, and reusable interaction patterns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 xml:space="preserve">Purpose. </w:t>
            </w:r>
            <w:r>
              <w:t>This document sets the default interaction standard to be reused across Legacy Fortress so the application remains familiar, simple, and robust for users while staying efficient for future development.</w:t>
            </w:r>
          </w:p>
        </w:tc>
      </w:tr>
    </w:tbl>
    <w:p/>
    <w:p>
      <w:pPr>
        <w:pStyle w:val="Heading1"/>
      </w:pPr>
      <w:r>
        <w:t>1. Governing UX principle</w:t>
      </w:r>
    </w:p>
    <w:p>
      <w:pPr>
        <w:pStyle w:val="ListBullet"/>
        <w:spacing w:after="40"/>
      </w:pPr>
      <w:r>
        <w:t>Every data-entry journey should prefer structured capture first, with user-friendly fallbacks where needed.</w:t>
      </w:r>
    </w:p>
    <w:p>
      <w:pPr>
        <w:pStyle w:val="ListBullet"/>
        <w:spacing w:after="40"/>
      </w:pPr>
      <w:r>
        <w:t>The system should maximise standard controls that reduce typing effort and data inconsistency: date pickers, dropdowns, segmented choices, toggles, radio buttons, upload zones and guided confirmation steps.</w:t>
      </w:r>
    </w:p>
    <w:p>
      <w:pPr>
        <w:pStyle w:val="ListBullet"/>
        <w:spacing w:after="40"/>
      </w:pPr>
      <w:r>
        <w:t>Free text should be available only where it adds value or where no safe structured option exists.</w:t>
      </w:r>
    </w:p>
    <w:p>
      <w:pPr>
        <w:pStyle w:val="ListBullet"/>
        <w:spacing w:after="40"/>
      </w:pPr>
      <w:r>
        <w:t>Required fields must be visually and textually obvious before the user attempts submission.</w:t>
      </w:r>
    </w:p>
    <w:p>
      <w:pPr>
        <w:pStyle w:val="ListBullet"/>
        <w:spacing w:after="40"/>
      </w:pPr>
      <w:r>
        <w:t>Controls, labels, help text, icon use and document interactions must be reusable across modules so the user does not need to relearn patterns section by section.</w:t>
      </w:r>
    </w:p>
    <w:p>
      <w:pPr>
        <w:pStyle w:val="Heading1"/>
      </w:pPr>
      <w:r>
        <w:t>2. Required default input controls</w:t>
      </w:r>
    </w:p>
    <w:p>
      <w:pPr>
        <w:pStyle w:val="ListBullet"/>
        <w:spacing w:after="40"/>
      </w:pPr>
      <w:r>
        <w:t>Date fields should default to a date picker. Examples: issue date, expiry date, valuation date, payment date, review date, purchase date, date of birth and signature date.</w:t>
      </w:r>
    </w:p>
    <w:p>
      <w:pPr>
        <w:pStyle w:val="ListBullet"/>
        <w:spacing w:after="40"/>
      </w:pPr>
      <w:r>
        <w:t>Dropdown menus should be used wherever there is a known set of likely answers. Each dropdown should include an 'Other' or 'Not listed' option that reveals a free-text field when appropriate.</w:t>
      </w:r>
    </w:p>
    <w:p>
      <w:pPr>
        <w:pStyle w:val="ListBullet"/>
        <w:spacing w:after="40"/>
      </w:pPr>
      <w:r>
        <w:t>Numeric and currency fields should use dedicated numeric inputs with formatting guidance and validation.</w:t>
      </w:r>
    </w:p>
    <w:p>
      <w:pPr>
        <w:pStyle w:val="ListBullet"/>
        <w:spacing w:after="40"/>
      </w:pPr>
      <w:r>
        <w:t>Boolean decisions should use clear yes/no radios or toggles rather than ambiguous free text.</w:t>
      </w:r>
    </w:p>
    <w:p>
      <w:pPr>
        <w:pStyle w:val="ListBullet"/>
        <w:spacing w:after="40"/>
      </w:pPr>
      <w:r>
        <w:t>Country, currency, provider type, asset type, account type, policy type and document type should be controlled selections where possible.</w:t>
      </w:r>
    </w:p>
    <w:p>
      <w:pPr>
        <w:pStyle w:val="ListBullet"/>
        <w:spacing w:after="40"/>
      </w:pPr>
      <w:r>
        <w:t>Long narrative explanation should be reserved for notes, wishes, special instructions and exception handling.</w:t>
      </w:r>
    </w:p>
    <w:p>
      <w:pPr>
        <w:pStyle w:val="Heading1"/>
      </w:pPr>
      <w:r>
        <w:t>3. Required-field standard</w:t>
      </w:r>
    </w:p>
    <w:p>
      <w:pPr>
        <w:pStyle w:val="ListBullet"/>
        <w:spacing w:after="40"/>
      </w:pPr>
      <w:r>
        <w:t>Every required field must be marked consistently in the label, for example with '(Required)' or a standard visual marker backed by accessible text.</w:t>
      </w:r>
    </w:p>
    <w:p>
      <w:pPr>
        <w:pStyle w:val="ListBullet"/>
        <w:spacing w:after="40"/>
      </w:pPr>
      <w:r>
        <w:t>Required-field logic must be visible before submit, not only after validation fails.</w:t>
      </w:r>
    </w:p>
    <w:p>
      <w:pPr>
        <w:pStyle w:val="ListBullet"/>
        <w:spacing w:after="40"/>
      </w:pPr>
      <w:r>
        <w:t>Validation messages must appear adjacent to the relevant field and explain what is missing or invalid in plain English.</w:t>
      </w:r>
    </w:p>
    <w:p>
      <w:pPr>
        <w:pStyle w:val="ListBullet"/>
        <w:spacing w:after="40"/>
      </w:pPr>
      <w:r>
        <w:t>Requiredness should be driven from canonical field configuration so forms, progress tracking and completeness scoring all use the same rules.</w:t>
      </w:r>
    </w:p>
    <w:p>
      <w:pPr>
        <w:pStyle w:val="Heading1"/>
      </w:pPr>
      <w:r>
        <w:t>4. Dropdown and free-text pattern</w:t>
      </w:r>
    </w:p>
    <w:p>
      <w:pPr>
        <w:pStyle w:val="ListBullet"/>
        <w:spacing w:after="40"/>
      </w:pPr>
      <w:r>
        <w:t>Use dropdown menus to speed completion and improve data quality.</w:t>
      </w:r>
    </w:p>
    <w:p>
      <w:pPr>
        <w:pStyle w:val="ListBullet"/>
        <w:spacing w:after="40"/>
      </w:pPr>
      <w:r>
        <w:t>If the user cannot find a suitable option, selecting 'Other' should reveal a free-text field such as 'Other bank', 'Other insurer', 'Other pension type' or 'Other possession type'.</w:t>
      </w:r>
    </w:p>
    <w:p>
      <w:pPr>
        <w:pStyle w:val="ListBullet"/>
        <w:spacing w:after="40"/>
      </w:pPr>
      <w:r>
        <w:t>The chosen free-text value should be stored in a structured way so it remains searchable and reportable.</w:t>
      </w:r>
    </w:p>
    <w:p>
      <w:pPr>
        <w:pStyle w:val="ListBullet"/>
        <w:spacing w:after="40"/>
      </w:pPr>
      <w:r>
        <w:t>This pattern should be reused across all modules instead of creating unique one-off form behaviour.</w:t>
      </w:r>
    </w:p>
    <w:p>
      <w:pPr>
        <w:pStyle w:val="Heading1"/>
      </w:pPr>
      <w:r>
        <w:t>5. Date picker standard</w:t>
      </w:r>
    </w:p>
    <w:p>
      <w:pPr>
        <w:pStyle w:val="ListBullet"/>
        <w:spacing w:after="40"/>
      </w:pPr>
      <w:r>
        <w:t>Date pickers should support day, month and year selection and should be optimised for older and less technical users.</w:t>
      </w:r>
    </w:p>
    <w:p>
      <w:pPr>
        <w:pStyle w:val="ListBullet"/>
        <w:spacing w:after="40"/>
      </w:pPr>
      <w:r>
        <w:t>Where an exact day is unknown, the system should allow partial-date handling when business rules require it, for example year only or month/year only.</w:t>
      </w:r>
    </w:p>
    <w:p>
      <w:pPr>
        <w:pStyle w:val="ListBullet"/>
        <w:spacing w:after="40"/>
      </w:pPr>
      <w:r>
        <w:t>Date controls should support keyboard entry as a fallback but should still display a picker for consistency.</w:t>
      </w:r>
    </w:p>
    <w:p>
      <w:pPr>
        <w:pStyle w:val="ListBullet"/>
        <w:spacing w:after="40"/>
      </w:pPr>
      <w:r>
        <w:t>Reminder scheduling, document expiry, review cycles and payment dates should all use the same reusable date component.</w:t>
      </w:r>
    </w:p>
    <w:p>
      <w:pPr>
        <w:pStyle w:val="Heading1"/>
      </w:pPr>
      <w:r>
        <w:t>6. Iconography and visual familiarity</w:t>
      </w:r>
    </w:p>
    <w:p>
      <w:pPr>
        <w:pStyle w:val="ListBullet"/>
        <w:spacing w:after="40"/>
      </w:pPr>
      <w:r>
        <w:t>Use iOS-style Material icons consistently across menus, cards, buttons, empty states and upload actions to improve familiarity and standardisation.</w:t>
      </w:r>
    </w:p>
    <w:p>
      <w:pPr>
        <w:pStyle w:val="ListBullet"/>
        <w:spacing w:after="40"/>
      </w:pPr>
      <w:r>
        <w:t>Icons should support the label, not replace the label.</w:t>
      </w:r>
    </w:p>
    <w:p>
      <w:pPr>
        <w:pStyle w:val="ListBullet"/>
        <w:spacing w:after="40"/>
      </w:pPr>
      <w:r>
        <w:t>The same icon should always represent the same concept across the platform. Example: upload, download, print, edit, delete, view document, link user, reminder and calendar.</w:t>
      </w:r>
    </w:p>
    <w:p>
      <w:pPr>
        <w:pStyle w:val="ListBullet"/>
        <w:spacing w:after="40"/>
      </w:pPr>
      <w:r>
        <w:t>Recognised providers and services may also show a matched brand logo where appropriate, but the base interaction icon set should remain standardised.</w:t>
      </w:r>
    </w:p>
    <w:p>
      <w:pPr>
        <w:pStyle w:val="Heading1"/>
      </w:pPr>
      <w:r>
        <w:t>7. Document and image intake standard</w:t>
      </w:r>
    </w:p>
    <w:p>
      <w:pPr>
        <w:pStyle w:val="ListBullet"/>
        <w:spacing w:after="40"/>
      </w:pPr>
      <w:r>
        <w:t>Every relevant asset page should support both click-to-upload and drag-and-drop upload for documents and images.</w:t>
      </w:r>
    </w:p>
    <w:p>
      <w:pPr>
        <w:pStyle w:val="ListBullet"/>
        <w:spacing w:after="40"/>
      </w:pPr>
      <w:r>
        <w:t>Accepted file types and size limits must be shown before upload.</w:t>
      </w:r>
    </w:p>
    <w:p>
      <w:pPr>
        <w:pStyle w:val="ListBullet"/>
        <w:spacing w:after="40"/>
      </w:pPr>
      <w:r>
        <w:t>Uploads should allow images and standard document formats where appropriate, including PDF and common image formats.</w:t>
      </w:r>
    </w:p>
    <w:p>
      <w:pPr>
        <w:pStyle w:val="ListBullet"/>
        <w:spacing w:after="40"/>
      </w:pPr>
      <w:r>
        <w:t>The user should be able to add one or more files, view what has already been attached, remove pending uploads, and confirm submission clearly.</w:t>
      </w:r>
    </w:p>
    <w:p>
      <w:pPr>
        <w:pStyle w:val="ListBullet"/>
        <w:spacing w:after="40"/>
      </w:pPr>
      <w:r>
        <w:t>The same intake component should be reusable for wills, policies, account statements, certificates, property images, ID documents, valuation evidence and possession photos.</w:t>
      </w:r>
    </w:p>
    <w:p>
      <w:pPr>
        <w:pStyle w:val="Heading1"/>
      </w:pPr>
      <w:r>
        <w:t>8. Drag-and-drop upload pattern</w:t>
      </w:r>
    </w:p>
    <w:p>
      <w:pPr>
        <w:pStyle w:val="ListBullet"/>
        <w:spacing w:after="40"/>
      </w:pPr>
      <w:r>
        <w:t>The upload zone should visibly indicate that the user can drag and drop or browse files.</w:t>
      </w:r>
    </w:p>
    <w:p>
      <w:pPr>
        <w:pStyle w:val="ListBullet"/>
        <w:spacing w:after="40"/>
      </w:pPr>
      <w:r>
        <w:t>Once files are added, the interface should show file name, type, upload date or pending state, and available actions.</w:t>
      </w:r>
    </w:p>
    <w:p>
      <w:pPr>
        <w:pStyle w:val="ListBullet"/>
        <w:spacing w:after="40"/>
      </w:pPr>
      <w:r>
        <w:t>Where safe and helpful, thumbnail previews should be shown for images.</w:t>
      </w:r>
    </w:p>
    <w:p>
      <w:pPr>
        <w:pStyle w:val="ListBullet"/>
        <w:spacing w:after="40"/>
      </w:pPr>
      <w:r>
        <w:t>Users must be able to replace or delete a selected file before final save.</w:t>
      </w:r>
    </w:p>
    <w:p>
      <w:pPr>
        <w:pStyle w:val="ListBullet"/>
        <w:spacing w:after="40"/>
      </w:pPr>
      <w:r>
        <w:t>Upload states should be explicit: ready, uploading, uploaded, failed, extraction pending, extraction complete, user confirmation required.</w:t>
      </w:r>
    </w:p>
    <w:p>
      <w:pPr>
        <w:pStyle w:val="Heading1"/>
      </w:pPr>
      <w:r>
        <w:t>9. Field extraction and assisted data capture</w:t>
      </w:r>
    </w:p>
    <w:p>
      <w:pPr>
        <w:pStyle w:val="ListBullet"/>
        <w:spacing w:after="40"/>
      </w:pPr>
      <w:r>
        <w:t>Document and image upload should support assisted extraction where available, but extraction is an accelerator, not the system of record.</w:t>
      </w:r>
    </w:p>
    <w:p>
      <w:pPr>
        <w:pStyle w:val="ListBullet"/>
        <w:spacing w:after="40"/>
      </w:pPr>
      <w:r>
        <w:t>Any extracted fields must be shown to the user in an editable confirmation step before save.</w:t>
      </w:r>
    </w:p>
    <w:p>
      <w:pPr>
        <w:pStyle w:val="ListBullet"/>
        <w:spacing w:after="40"/>
      </w:pPr>
      <w:r>
        <w:t>The user must remain able to override, correct or reject extracted values.</w:t>
      </w:r>
    </w:p>
    <w:p>
      <w:pPr>
        <w:pStyle w:val="ListBullet"/>
        <w:spacing w:after="40"/>
      </w:pPr>
      <w:r>
        <w:t>When extraction fails, the system should gracefully fall back to manual entry and clearly say so.</w:t>
      </w:r>
    </w:p>
    <w:p>
      <w:pPr>
        <w:pStyle w:val="ListBullet"/>
        <w:spacing w:after="40"/>
      </w:pPr>
      <w:r>
        <w:t>Extraction patterns should be reused consistently across suitable modules such as possessions, insurance, property, ID and financial records.</w:t>
      </w:r>
    </w:p>
    <w:p>
      <w:pPr>
        <w:pStyle w:val="Heading1"/>
      </w:pPr>
      <w:r>
        <w:t>10. Document actions standard</w:t>
      </w:r>
    </w:p>
    <w:p>
      <w:pPr>
        <w:pStyle w:val="ListBullet"/>
        <w:spacing w:after="40"/>
      </w:pPr>
      <w:r>
        <w:t>Where a file has been saved to an asset, the user should be able to: view, download, print and, where permitted, replace or remove it.</w:t>
      </w:r>
    </w:p>
    <w:p>
      <w:pPr>
        <w:pStyle w:val="ListBullet"/>
        <w:spacing w:after="40"/>
      </w:pPr>
      <w:r>
        <w:t>These actions should appear in a consistent order and location across the application.</w:t>
      </w:r>
    </w:p>
    <w:p>
      <w:pPr>
        <w:pStyle w:val="ListBullet"/>
        <w:spacing w:after="40"/>
      </w:pPr>
      <w:r>
        <w:t>Document previews should be available where feasible so the user does not have to download a file just to check it.</w:t>
      </w:r>
    </w:p>
    <w:p>
      <w:pPr>
        <w:pStyle w:val="ListBullet"/>
        <w:spacing w:after="40"/>
      </w:pPr>
      <w:r>
        <w:t>Signed URL access, permissions and audit logging must still apply behind the scenes, but the user experience should remain simple.</w:t>
      </w:r>
    </w:p>
    <w:p>
      <w:pPr>
        <w:pStyle w:val="Heading1"/>
      </w:pPr>
      <w:r>
        <w:t>11. Reusable page pattern for asset screens</w:t>
      </w:r>
    </w:p>
    <w:p>
      <w:pPr>
        <w:pStyle w:val="ListBullet"/>
        <w:spacing w:after="40"/>
      </w:pPr>
      <w:r>
        <w:t>Top of page: existing saved records and linked files.</w:t>
      </w:r>
    </w:p>
    <w:p>
      <w:pPr>
        <w:pStyle w:val="ListBullet"/>
        <w:spacing w:after="40"/>
      </w:pPr>
      <w:r>
        <w:t>Middle: key actions such as add, edit, upload, invite, review or continue.</w:t>
      </w:r>
    </w:p>
    <w:p>
      <w:pPr>
        <w:pStyle w:val="ListBullet"/>
        <w:spacing w:after="40"/>
      </w:pPr>
      <w:r>
        <w:t>Bottom or secondary panel: guided capture form for a new item or amendment.</w:t>
      </w:r>
    </w:p>
    <w:p>
      <w:pPr>
        <w:pStyle w:val="ListBullet"/>
        <w:spacing w:after="40"/>
      </w:pPr>
      <w:r>
        <w:t>Where extraction is supported, the upload-and-extract option should sit beside manual entry rather than replacing it.</w:t>
      </w:r>
    </w:p>
    <w:p>
      <w:pPr>
        <w:pStyle w:val="ListBullet"/>
        <w:spacing w:after="40"/>
      </w:pPr>
      <w:r>
        <w:t>This layout should be reused so users can predict where to find existing information and where to add new information.</w:t>
      </w:r>
    </w:p>
    <w:p>
      <w:pPr>
        <w:pStyle w:val="Heading1"/>
      </w:pPr>
      <w:r>
        <w:t>12. Accessibility and clarity requirements</w:t>
      </w:r>
    </w:p>
    <w:p>
      <w:pPr>
        <w:pStyle w:val="ListBullet"/>
        <w:spacing w:after="40"/>
      </w:pPr>
      <w:r>
        <w:t>Labels, required markers, validation text and control states must remain readable for older users and on smaller screens.</w:t>
      </w:r>
    </w:p>
    <w:p>
      <w:pPr>
        <w:pStyle w:val="ListBullet"/>
        <w:spacing w:after="40"/>
      </w:pPr>
      <w:r>
        <w:t>Touch targets for date pickers, dropdowns, upload buttons and action icons must not be too small.</w:t>
      </w:r>
    </w:p>
    <w:p>
      <w:pPr>
        <w:pStyle w:val="ListBullet"/>
        <w:spacing w:after="40"/>
      </w:pPr>
      <w:r>
        <w:t>Do not rely on colour alone to communicate requiredness, error state or success state.</w:t>
      </w:r>
    </w:p>
    <w:p>
      <w:pPr>
        <w:pStyle w:val="ListBullet"/>
        <w:spacing w:after="40"/>
      </w:pPr>
      <w:r>
        <w:t>Buttons and icons for view, download and print should include accessible labels and tooltips where helpful.</w:t>
      </w:r>
    </w:p>
    <w:p>
      <w:pPr>
        <w:pStyle w:val="Heading1"/>
      </w:pPr>
      <w:r>
        <w:t>13. Implementation rule for future development</w:t>
      </w:r>
    </w:p>
    <w:p>
      <w:pPr>
        <w:pStyle w:val="ListBullet"/>
        <w:spacing w:after="40"/>
      </w:pPr>
      <w:r>
        <w:t>These standards should be treated as the default guide for all future prompts, page builds and reviews.</w:t>
      </w:r>
    </w:p>
    <w:p>
      <w:pPr>
        <w:pStyle w:val="ListBullet"/>
        <w:spacing w:after="40"/>
      </w:pPr>
      <w:r>
        <w:t>Any deviation should be deliberate, documented and justified by a specific asset or compliance need.</w:t>
      </w:r>
    </w:p>
    <w:p>
      <w:pPr>
        <w:pStyle w:val="ListBullet"/>
        <w:spacing w:after="40"/>
      </w:pPr>
      <w:r>
        <w:t>Form components, upload components, document-action components, extraction-confirmation components and validation rules should be implemented as shared modules rather than duplicated page-level code.</w:t>
      </w:r>
    </w:p>
    <w:p>
      <w:pPr>
        <w:pStyle w:val="ListBullet"/>
        <w:spacing w:after="40"/>
      </w:pPr>
      <w:r>
        <w:t>The canonical field dictionary and completeness rules should drive which inputs are shown, which are required and which support extraction.</w:t>
      </w:r>
    </w:p>
    <w:p>
      <w:pPr>
        <w:pStyle w:val="Heading1"/>
      </w:pPr>
      <w:r>
        <w:t>14. Default control library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shd w:fill="1F293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Interaction need</w:t>
            </w:r>
          </w:p>
        </w:tc>
        <w:tc>
          <w:tcPr>
            <w:tcW w:type="dxa" w:w="2484"/>
            <w:vAlign w:val="center"/>
            <w:shd w:fill="1F293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Default control</w:t>
            </w:r>
          </w:p>
        </w:tc>
        <w:tc>
          <w:tcPr>
            <w:tcW w:type="dxa" w:w="2484"/>
            <w:vAlign w:val="center"/>
            <w:shd w:fill="1F293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Fallback / exception</w:t>
            </w:r>
          </w:p>
        </w:tc>
        <w:tc>
          <w:tcPr>
            <w:tcW w:type="dxa" w:w="2484"/>
            <w:vAlign w:val="center"/>
            <w:shd w:fill="1F2937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Known date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Date picker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Keyboard entry where needed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for issue, expiry, valuation, review and payment dates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Known option set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Dropdown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Other → reveal free text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Preferred for provider type, asset type, document type, policy type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Yes / No decision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Radio or toggle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N/A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Avoid free text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Currency or amount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Numeric / currency input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None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 format help and validation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Documents or images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Drag-and-drop upload zone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Browse files button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Show type, size, status and actions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Metadata from uploaded file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Extraction confirmation panel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Manual data entry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User must confirm before save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Saved file interaction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View / Download / Print actions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N/A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Consistent order and placement</w:t>
            </w:r>
          </w:p>
        </w:tc>
      </w:tr>
    </w:tbl>
    <w:p>
      <w:pPr>
        <w:pStyle w:val="Heading1"/>
      </w:pPr>
      <w:r>
        <w:t>15. Delivery instruction to retain with project documents</w:t>
      </w:r>
    </w:p>
    <w:p>
      <w:r>
        <w:rPr>
          <w:b/>
        </w:rPr>
        <w:t xml:space="preserve">Instruction. </w:t>
      </w:r>
      <w:r>
        <w:t>Retain this document beside the Comprehensive Build Plan and Category &amp; Asset Dictionary as a standing reference for UX, forms, uploads and data-capture implementation. Future prompts should explicitly require compliance with these standards unless a justified exception is documented.</w:t>
      </w:r>
    </w:p>
    <w:p>
      <w:pPr>
        <w:pStyle w:val="Heading1"/>
      </w:pPr>
      <w:r>
        <w:t>16. Authentication, passkey and high-trust journey standard</w:t>
      </w:r>
    </w:p>
    <w:p>
      <w:pPr>
        <w:pStyle w:val="ListBullet"/>
      </w:pPr>
      <w:r>
        <w:t>Passkeys should be presented as the preferred future sign-in action where supported, using plain language such as “Continue with passkey”.</w:t>
      </w:r>
    </w:p>
    <w:p>
      <w:pPr>
        <w:pStyle w:val="ListBullet"/>
      </w:pPr>
      <w:r>
        <w:t>Helper text should explain that the user may use Face ID, fingerprint, Windows Hello, device PIN or another supported authenticator; the interface must not promise a specific biometric method.</w:t>
      </w:r>
    </w:p>
    <w:p>
      <w:pPr>
        <w:pStyle w:val="ListBullet"/>
      </w:pPr>
      <w:r>
        <w:t>Do not present WebAuthn, FIDO, authenticator ceremony or similar technical terminology in the primary user journey.</w:t>
      </w:r>
    </w:p>
    <w:p>
      <w:pPr>
        <w:pStyle w:val="ListBullet"/>
      </w:pPr>
      <w:r>
        <w:t>Password and account-recovery options should remain available during the staged transition so unsupported devices and recovery cases are not locked out.</w:t>
      </w:r>
    </w:p>
    <w:p>
      <w:pPr>
        <w:pStyle w:val="ListBullet"/>
      </w:pPr>
      <w:r>
        <w:t>A returning authenticated user must not be blindly routed to the Personal Vault dashboard. The application should resolve the user’s pending invitation, linked role, required identity step, mandatory security/terms action and selected workspace before choosing a destination.</w:t>
      </w:r>
    </w:p>
    <w:p>
      <w:pPr>
        <w:pStyle w:val="ListBullet"/>
      </w:pPr>
      <w:r>
        <w:t>A pending Executor or other linked-role invitation should take precedence over generic Personal Vault onboarding.</w:t>
      </w:r>
    </w:p>
    <w:p>
      <w:pPr>
        <w:pStyle w:val="ListBullet"/>
      </w:pPr>
      <w:r>
        <w:t>Where a user has multiple authorised workspaces or roles, show a clear workspace choice rather than silently merging contexts.</w:t>
      </w:r>
    </w:p>
    <w:p>
      <w:pPr>
        <w:pStyle w:val="Heading1"/>
      </w:pPr>
      <w:r>
        <w:t>17. Passkey biometric privacy wording</w:t>
      </w:r>
    </w:p>
    <w:p>
      <w:pPr>
        <w:pStyle w:val="ListBullet"/>
      </w:pPr>
      <w:r>
        <w:t>Passkey sign-in should explain that device biometrics such as Face ID or fingerprint are processed by the user’s device/authenticator and are not stored by Legacy Fortress as the sign-in biometric template.</w:t>
      </w:r>
    </w:p>
    <w:p>
      <w:pPr>
        <w:pStyle w:val="ListBullet"/>
      </w:pPr>
      <w:r>
        <w:t>Passkey authentication must be described separately from government-ID/liveness/face identity verification.</w:t>
      </w:r>
    </w:p>
    <w:p>
      <w:pPr>
        <w:pStyle w:val="ListBullet"/>
      </w:pPr>
      <w:r>
        <w:t>Do not use wording such as “identity verified” when only a passkey sign-in has occurred.</w:t>
      </w:r>
    </w:p>
    <w:p>
      <w:pPr>
        <w:pStyle w:val="ListBullet"/>
      </w:pPr>
      <w:r>
        <w:t>For high-risk actions, a fresh passkey/device-presence check may be used as a separate time-bounded confirmation without implying legal authority or access entitlement.</w:t>
      </w:r>
    </w:p>
    <w:p>
      <w:pPr>
        <w:pStyle w:val="Heading1"/>
      </w:pPr>
      <w:r>
        <w:t>18. Focused trust-journey layout</w:t>
      </w:r>
    </w:p>
    <w:p>
      <w:pPr>
        <w:pStyle w:val="ListBullet"/>
      </w:pPr>
      <w:r>
        <w:t>Authentication, invitation acceptance and identity-verification steps should use a focused task layout in which the security action is visually dominant, rather than compressing the task into a narrow secondary side panel.</w:t>
      </w:r>
    </w:p>
    <w:p>
      <w:pPr>
        <w:pStyle w:val="ListBullet"/>
      </w:pPr>
      <w:r>
        <w:t>Carry owner, role and purpose context through linked-role journeys so the user always understands who they are acting for and why verification is required.</w:t>
      </w:r>
    </w:p>
    <w:p>
      <w:pPr>
        <w:pStyle w:val="ListBullet"/>
      </w:pPr>
      <w:r>
        <w:t>Use explicit progress for multi-step trust journeys, for example Account → Accept role → Verify identity → Complete.</w:t>
      </w:r>
    </w:p>
    <w:p>
      <w:pPr>
        <w:pStyle w:val="ListBullet"/>
      </w:pPr>
      <w:r>
        <w:t>Success, failure, wrong-account, invalid-link and recovery states must be mutually exclusive and must not expose contradictory action buttons.</w:t>
      </w:r>
    </w:p>
    <w:p>
      <w:pPr>
        <w:pStyle w:val="Heading1"/>
      </w:pPr>
      <w:r>
        <w:t>19. Continuous build and admin-interface consistency</w:t>
      </w:r>
    </w:p>
    <w:p>
      <w:pPr>
        <w:pStyle w:val="ListBullet"/>
      </w:pPr>
      <w:r>
        <w:t>Authentication and passkey work must be tested against Personal Vault, linked-role, enterprise and platform-administration contexts as part of the continuous build programme.</w:t>
      </w:r>
    </w:p>
    <w:p>
      <w:pPr>
        <w:pStyle w:val="ListBullet"/>
      </w:pPr>
      <w:r>
        <w:t>Administrative dashboards and functional control interfaces remain active build areas; shared buttons, fields, status badges, help icons and action controls should use canonical component dimensions and interaction patterns.</w:t>
      </w:r>
    </w:p>
    <w:p>
      <w:pPr>
        <w:pStyle w:val="ListBullet"/>
      </w:pPr>
      <w:r>
        <w:t>A backend capability is not considered complete until the corresponding authorised UI is understandable, accessible and hosted-UAT verified.</w:t>
      </w:r>
    </w:p>
    <w:p>
      <w:pPr>
        <w:pStyle w:val="ListBullet"/>
      </w:pPr>
      <w:r>
        <w:t>Admin screens must remain privacy-safe and must not expose passkey private material, device biometric data or raw identity-verification evidence.</w:t>
      </w:r>
    </w:p>
    <w:p>
      <w:pPr>
        <w:pStyle w:val="Heading2"/>
        <w:pageBreakBefore/>
      </w:pPr>
      <w:r>
        <w:t>20. Current Passkey UX Capability - Staging Candidate 302377e</w:t>
      </w:r>
    </w:p>
    <w:p>
      <w:r>
        <w:t>Security settings may expose staging-only passkey enrollment where explicit non-production flags and browser support permit it. The interface must preserve a clear password/recovery fallback.</w:t>
      </w:r>
    </w:p>
    <w:p>
      <w:r>
        <w:t>Do not present a primary “Continue with passkey” sign-in action until the self-hosted authentication stack exposes and proves a supported passwordless/discoverable passkey sign-in path. The current @supabase/supabase-js 2.98.0 WebAuthn capability is limited to MFA enrollment/step-up helpers for this project context.</w:t>
      </w:r>
    </w:p>
    <w:p>
      <w:r>
        <w:t>An already-authenticated visit to /sign-in must not silently imply Personal Vault /dashboard. Routing must resolve pending invitations, linked-role actions and validated return paths before generic Personal Vault destinations.</w:t>
      </w:r>
    </w:p>
    <w:p>
      <w:r>
        <w:t>Passkey enrollment and later fresh-presence checks should use plain language, accessible fallback states and device-local biometric privacy explanations. Do not claim Legacy Fortress receives Face ID, fingerprint or platform biometric templates.</w:t>
      </w:r>
    </w:p>
    <w:p>
      <w:r>
        <w:t>Authentication/passkey work and administrative dashboard/control-interface work are parallel continuous-build streams. Shared form, button, status, alert and security-control components should remain visually and behaviorally consistent across Personal Vault, linked-role, Enterprise and Platform Administration experiences.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333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1F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FCallout">
    <w:name w:val="LF Callout"/>
    <w:rPr>
      <w:rFonts w:ascii="Aptos" w:hAnsi="Aptos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