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Omnis Education Platform – DPIA &amp; GDPR Governance Document</w:t>
      </w:r>
    </w:p>
    <w:p>
      <w:r>
        <w:t>Generated: 24 February 2026</w:t>
      </w:r>
    </w:p>
    <w:p>
      <w:pPr>
        <w:pStyle w:val="Heading1"/>
      </w:pPr>
      <w:r>
        <w:t>1. Introduction</w:t>
      </w:r>
    </w:p>
    <w:p>
      <w:r>
        <w:t>This document outlines the Data Protection Impact Assessment (DPIA) and GDPR governance framework for the Omnis Education Platform. Omnis is a multi-tenant cloud-based SaaS system designed for secondary schools to manage teaching operations, homework, SEND support, integrity monitoring, analytics, and structured parent communication.</w:t>
      </w:r>
    </w:p>
    <w:p>
      <w:pPr>
        <w:pStyle w:val="Heading1"/>
      </w:pPr>
      <w:r>
        <w:t>2. Nature, Scope, Context and Purpose of Processing</w:t>
      </w:r>
    </w:p>
    <w:p>
      <w:r>
        <w:t>Omnis processes personal data for the following purposes:</w:t>
      </w:r>
    </w:p>
    <w:p>
      <w:pPr>
        <w:pStyle w:val="ListBullet"/>
      </w:pPr>
      <w:r>
        <w:t>Lesson management and homework assignment</w:t>
      </w:r>
    </w:p>
    <w:p>
      <w:pPr>
        <w:pStyle w:val="ListBullet"/>
      </w:pPr>
      <w:r>
        <w:t>Adaptive learning and SEND support planning</w:t>
      </w:r>
    </w:p>
    <w:p>
      <w:pPr>
        <w:pStyle w:val="ListBullet"/>
      </w:pPr>
      <w:r>
        <w:t>Student performance tracking and analytics</w:t>
      </w:r>
    </w:p>
    <w:p>
      <w:pPr>
        <w:pStyle w:val="ListBullet"/>
      </w:pPr>
      <w:r>
        <w:t>Integrity monitoring for text-entry submissions</w:t>
      </w:r>
    </w:p>
    <w:p>
      <w:pPr>
        <w:pStyle w:val="ListBullet"/>
      </w:pPr>
      <w:r>
        <w:t>Parent communication within structured time windows</w:t>
      </w:r>
    </w:p>
    <w:p>
      <w:pPr>
        <w:pStyle w:val="ListBullet"/>
      </w:pPr>
      <w:r>
        <w:t>Internal benchmarking within a single school</w:t>
      </w:r>
    </w:p>
    <w:p>
      <w:pPr>
        <w:pStyle w:val="ListBullet"/>
      </w:pPr>
      <w:r>
        <w:t>MIS synchronisation via Wonde integration</w:t>
      </w:r>
    </w:p>
    <w:p>
      <w:pPr>
        <w:pStyle w:val="Heading1"/>
      </w:pPr>
      <w:r>
        <w:t>3. Categories of Data Processed</w:t>
      </w:r>
    </w:p>
    <w:p>
      <w:pPr>
        <w:pStyle w:val="ListBullet"/>
      </w:pPr>
      <w:r>
        <w:t>Student identity data (name, year group, class membership)</w:t>
      </w:r>
    </w:p>
    <w:p>
      <w:pPr>
        <w:pStyle w:val="ListBullet"/>
      </w:pPr>
      <w:r>
        <w:t>Educational performance data (grades, homework submissions)</w:t>
      </w:r>
    </w:p>
    <w:p>
      <w:pPr>
        <w:pStyle w:val="ListBullet"/>
      </w:pPr>
      <w:r>
        <w:t>SEND status (where provided via MIS and confirmed by SENCo)</w:t>
      </w:r>
    </w:p>
    <w:p>
      <w:pPr>
        <w:pStyle w:val="ListBullet"/>
      </w:pPr>
      <w:r>
        <w:t>Parent contact details (where linked via MIS)</w:t>
      </w:r>
    </w:p>
    <w:p>
      <w:pPr>
        <w:pStyle w:val="ListBullet"/>
      </w:pPr>
      <w:r>
        <w:t>Teacher identity and role data</w:t>
      </w:r>
    </w:p>
    <w:p>
      <w:pPr>
        <w:pStyle w:val="ListBullet"/>
      </w:pPr>
      <w:r>
        <w:t>Aggregated interaction signals (no raw keystrokes stored)</w:t>
      </w:r>
    </w:p>
    <w:p>
      <w:r>
        <w:t>The system does not use raw student essays, parent messages, or identifiable free-text content for cross-school AI training or global model development.</w:t>
      </w:r>
    </w:p>
    <w:p>
      <w:pPr>
        <w:pStyle w:val="Heading1"/>
      </w:pPr>
      <w:r>
        <w:t>4. Lawful Basis for Processing</w:t>
      </w:r>
    </w:p>
    <w:p>
      <w:r>
        <w:t>Processing is carried out under Article 6(1)(e) (Public Task) and Article 6(1)(b) (Contractual necessity). Where special category data (e.g., SEND status) is processed, it is under Article 9(2)(g) (Substantial public interest).</w:t>
      </w:r>
    </w:p>
    <w:p>
      <w:pPr>
        <w:pStyle w:val="Heading1"/>
      </w:pPr>
      <w:r>
        <w:t>5. Data Minimisation &amp; Purpose Limitation</w:t>
      </w:r>
    </w:p>
    <w:p>
      <w:pPr>
        <w:pStyle w:val="ListBullet"/>
      </w:pPr>
      <w:r>
        <w:t>Only operationally required data is stored.</w:t>
      </w:r>
    </w:p>
    <w:p>
      <w:pPr>
        <w:pStyle w:val="ListBullet"/>
      </w:pPr>
      <w:r>
        <w:t>Aggregated metrics are used for improvement insights.</w:t>
      </w:r>
    </w:p>
    <w:p>
      <w:pPr>
        <w:pStyle w:val="ListBullet"/>
      </w:pPr>
      <w:r>
        <w:t>No cross-school identifiable benchmarking is permitted.</w:t>
      </w:r>
    </w:p>
    <w:p>
      <w:pPr>
        <w:pStyle w:val="ListBullet"/>
      </w:pPr>
      <w:r>
        <w:t>Raw keystroke logs are not retained.</w:t>
      </w:r>
    </w:p>
    <w:p>
      <w:pPr>
        <w:pStyle w:val="ListBullet"/>
      </w:pPr>
      <w:r>
        <w:t>Integrity monitoring stores aggregated signal metrics only.</w:t>
      </w:r>
    </w:p>
    <w:p>
      <w:pPr>
        <w:pStyle w:val="Heading1"/>
      </w:pPr>
      <w:r>
        <w:t>6. Data Security Measures</w:t>
      </w:r>
    </w:p>
    <w:p>
      <w:pPr>
        <w:pStyle w:val="ListBullet"/>
      </w:pPr>
      <w:r>
        <w:t>Multi-tenant row-level security (school_id enforced)</w:t>
      </w:r>
    </w:p>
    <w:p>
      <w:pPr>
        <w:pStyle w:val="ListBullet"/>
      </w:pPr>
      <w:r>
        <w:t>Role-based access control (RBAC)</w:t>
      </w:r>
    </w:p>
    <w:p>
      <w:pPr>
        <w:pStyle w:val="ListBullet"/>
      </w:pPr>
      <w:r>
        <w:t>Full audit logging of sensitive changes</w:t>
      </w:r>
    </w:p>
    <w:p>
      <w:pPr>
        <w:pStyle w:val="ListBullet"/>
      </w:pPr>
      <w:r>
        <w:t>Encryption in transit (TLS) and at rest</w:t>
      </w:r>
    </w:p>
    <w:p>
      <w:pPr>
        <w:pStyle w:val="ListBullet"/>
      </w:pPr>
      <w:r>
        <w:t>Optional per-tenant encryption keys</w:t>
      </w:r>
    </w:p>
    <w:p>
      <w:pPr>
        <w:pStyle w:val="ListBullet"/>
      </w:pPr>
      <w:r>
        <w:t>Strict access logging for SEND and integrity cases</w:t>
      </w:r>
    </w:p>
    <w:p>
      <w:pPr>
        <w:pStyle w:val="Heading1"/>
      </w:pPr>
      <w:r>
        <w:t>7. Data Retention</w:t>
      </w:r>
    </w:p>
    <w:p>
      <w:r>
        <w:t>Retention periods are configurable per school policy. Messaging and integrity logs may be retained in line with safeguarding policy (recommended up to 6 years). Data deletion workflows exist for leavers.</w:t>
      </w:r>
    </w:p>
    <w:p>
      <w:pPr>
        <w:pStyle w:val="Heading1"/>
      </w:pPr>
      <w:r>
        <w:t>8. Data Subject Rights</w:t>
      </w:r>
    </w:p>
    <w:p>
      <w:pPr>
        <w:pStyle w:val="ListBullet"/>
      </w:pPr>
      <w:r>
        <w:t>Right of access (Subject Access Requests)</w:t>
      </w:r>
    </w:p>
    <w:p>
      <w:pPr>
        <w:pStyle w:val="ListBullet"/>
      </w:pPr>
      <w:r>
        <w:t>Right to rectification</w:t>
      </w:r>
    </w:p>
    <w:p>
      <w:pPr>
        <w:pStyle w:val="ListBullet"/>
      </w:pPr>
      <w:r>
        <w:t>Right to restriction of processing</w:t>
      </w:r>
    </w:p>
    <w:p>
      <w:pPr>
        <w:pStyle w:val="ListBullet"/>
      </w:pPr>
      <w:r>
        <w:t>Right to erasure (where applicable)</w:t>
      </w:r>
    </w:p>
    <w:p>
      <w:pPr>
        <w:pStyle w:val="ListBullet"/>
      </w:pPr>
      <w:r>
        <w:t>Right to data portability (where applicable)</w:t>
      </w:r>
    </w:p>
    <w:p>
      <w:pPr>
        <w:pStyle w:val="Heading1"/>
      </w:pPr>
      <w:r>
        <w:t>9. AI &amp; Automated Processing Governance</w:t>
      </w:r>
    </w:p>
    <w:p>
      <w:r>
        <w:t>AI systems are used to assist homework generation, adaptation suggestions, and template recommendations. No automated decisions with legal or significant effect are made without human review. High integrity flags require teacher confirmation before grade release. SEND plan drafts require SENCo activation.</w:t>
      </w:r>
    </w:p>
    <w:p>
      <w:pPr>
        <w:pStyle w:val="Heading1"/>
      </w:pPr>
      <w:r>
        <w:t>10. Risk Assessment &amp; Mitigation</w:t>
      </w:r>
    </w:p>
    <w:p>
      <w:pPr>
        <w:pStyle w:val="ListBullet"/>
      </w:pPr>
      <w:r>
        <w:t>Risk of misclassification in integrity detection – mitigated by human review requirement.</w:t>
      </w:r>
    </w:p>
    <w:p>
      <w:pPr>
        <w:pStyle w:val="ListBullet"/>
      </w:pPr>
      <w:r>
        <w:t>Risk of SEND misinterpretation – mitigated by SENCo approval workflows.</w:t>
      </w:r>
    </w:p>
    <w:p>
      <w:pPr>
        <w:pStyle w:val="ListBullet"/>
      </w:pPr>
      <w:r>
        <w:t>Risk of cross-tenant data leakage – mitigated by row-level security and encryption.</w:t>
      </w:r>
    </w:p>
    <w:p>
      <w:pPr>
        <w:pStyle w:val="ListBullet"/>
      </w:pPr>
      <w:r>
        <w:t>Risk of excessive data retention – mitigated by configurable retention controls.</w:t>
      </w:r>
    </w:p>
    <w:p>
      <w:pPr>
        <w:pStyle w:val="Heading1"/>
      </w:pPr>
      <w:r>
        <w:t>11. International Transfers</w:t>
      </w:r>
    </w:p>
    <w:p>
      <w:r>
        <w:t>If cloud providers process data outside the UK, appropriate safeguards such as UK Addendum to Standard Contractual Clauses are required.</w:t>
      </w:r>
    </w:p>
    <w:p>
      <w:pPr>
        <w:pStyle w:val="Heading1"/>
      </w:pPr>
      <w:r>
        <w:t>12. Governance &amp; Accountability</w:t>
      </w:r>
    </w:p>
    <w:p>
      <w:r>
        <w:t>Each school acts as Data Controller. Omnis operates as Data Processor. A Data Processing Agreement (DPA) is required. Schools may opt out of anonymised contribution to global improvement insights.</w:t>
      </w:r>
    </w:p>
    <w:p>
      <w:pPr>
        <w:pStyle w:val="Heading1"/>
      </w:pPr>
      <w:r>
        <w:t>13. ICO Children’s Code (Age Appropriate Design Code) Assessment</w:t>
      </w:r>
    </w:p>
    <w:p>
      <w:r>
        <w:t>Omnis processes the personal data of children (Year 7–13, i.e. under 18) and is therefore assessed against the ICO’s Age Appropriate Design Code (the “Children’s Code”). For the core educational functions listed in Section 2, Omnis acts as a digital extension of each school’s offline activities, processing solely on the school’s instruction as Data Processor (Section 12). This assessment is nonetheless applied as best practice across the whole platform, because one processing activity — the cross-school insight pipeline described under Standard 9 below — involves Omnis determining its own processing purpose, which is the point at which the code is most likely to apply directly rather than by extension.</w:t>
      </w:r>
    </w:p>
    <w:p>
      <w:r>
        <w:rPr>
          <w:b/>
        </w:rPr>
        <w:t>13.1 Assessment Against the 15 Standards</w:t>
      </w:r>
    </w:p>
    <w:p>
      <w:pPr>
        <w:pStyle w:val="ListBullet"/>
      </w:pPr>
      <w:r>
        <w:rPr>
          <w:b/>
        </w:rPr>
        <w:t xml:space="preserve">Standard 1 – Best interests of the child: </w:t>
      </w:r>
      <w:r>
        <w:t>Met. AI-assisted outputs (homework generation, SEND adaptation, ILP drafts) never take effect without a named member of staff’s review — SENCo activation for SEND plans, teacher confirmation for integrity flags before grade release (Section 9). Safeguarding, behaviour, detention and exclusion records route to named staff, not automated action.</w:t>
      </w:r>
    </w:p>
    <w:p>
      <w:pPr>
        <w:pStyle w:val="ListBullet"/>
      </w:pPr>
      <w:r>
        <w:rPr>
          <w:b/>
        </w:rPr>
        <w:t xml:space="preserve">Standard 2 – Data protection impact assessments: </w:t>
      </w:r>
      <w:r>
        <w:t>Met by this document. This DPIA now builds in Children’s Code compliance directly, and the risk register in Section 10 is read as extending to the child-specific risks identified in 13.2 below.</w:t>
      </w:r>
    </w:p>
    <w:p>
      <w:pPr>
        <w:pStyle w:val="ListBullet"/>
      </w:pPr>
      <w:r>
        <w:rPr>
          <w:b/>
        </w:rPr>
        <w:t xml:space="preserve">Standard 3 – Age appropriate application: </w:t>
      </w:r>
      <w:r>
        <w:t>Met. There is no public or self-service sign-up route for students — accounts are provisioned by the school and age is established with certainty via MIS-synchronised year-group data (Wonde sync), not self-declaration. This should be recorded as the formal age-assurance method.</w:t>
      </w:r>
    </w:p>
    <w:p>
      <w:pPr>
        <w:pStyle w:val="ListBullet"/>
      </w:pPr>
      <w:r>
        <w:rPr>
          <w:b/>
        </w:rPr>
        <w:t xml:space="preserve">Standard 4 – Transparency: </w:t>
      </w:r>
      <w:r>
        <w:t>Met — closed 30 Aug 2026. A dismissible, one-time, plain-language data notice (ChildTransparencyNotice) now surfaces to every student the first time they land on any page after login — covering both the "first login" and "first AI-generated homework" trigger points named above, since the notice renders in the shared app shell rather than one specific page. Links through to /student/privacy for full detail. Acknowledgement is recorded once (User.childNoticeAckAt) and never shown again. Evidence: evidence/phase8-childrens-code/standard-4-transparency-notice.md.</w:t>
      </w:r>
    </w:p>
    <w:p>
      <w:pPr>
        <w:pStyle w:val="ListBullet"/>
      </w:pPr>
      <w:r>
        <w:rPr>
          <w:b/>
        </w:rPr>
        <w:t xml:space="preserve">Standard 5 – Detrimental use of data: </w:t>
      </w:r>
      <w:r>
        <w:t>Met. Integrity monitoring, behaviour records and early-warning flags trigger human review only, never automated sanctions; already covered by the misclassification mitigation in Section 10.</w:t>
      </w:r>
    </w:p>
    <w:p>
      <w:pPr>
        <w:pStyle w:val="ListBullet"/>
      </w:pPr>
      <w:r>
        <w:rPr>
          <w:b/>
        </w:rPr>
        <w:t xml:space="preserve">Standard 6 – Policies and community standards: </w:t>
      </w:r>
      <w:r>
        <w:t>Met by inheritance. Omnis does not author a separate child-facing community standard; it operates within each school’s own behaviour and safeguarding policy. This alignment should be stated explicitly in the DPA template.</w:t>
      </w:r>
    </w:p>
    <w:p>
      <w:pPr>
        <w:pStyle w:val="ListBullet"/>
      </w:pPr>
      <w:r>
        <w:rPr>
          <w:b/>
        </w:rPr>
        <w:t xml:space="preserve">Standard 7 – Default settings: </w:t>
      </w:r>
      <w:r>
        <w:t>Met — closed 30 Aug 2026. Full audit of UserSettings, UserAccessibilitySettings and messaging defaults completed. allowAnalyticsInsights, profileVisibleToColleagues and profileVisibleToAdmins were opt-out (@default(true)); flipped to opt-in (@default(false)). Messaging access is enforced by MsgParticipant membership, not by the isPrivate default, so no change was needed there. Verified against the real account-creation code path, not just the schema. Full findings and before/after values: evidence/phase8-childrens-code/standard-7-default-settings-audit.md.</w:t>
      </w:r>
    </w:p>
    <w:p>
      <w:pPr>
        <w:pStyle w:val="ListBullet"/>
      </w:pPr>
      <w:r>
        <w:rPr>
          <w:b/>
        </w:rPr>
        <w:t xml:space="preserve">Standard 8 – Data minimisation: </w:t>
      </w:r>
      <w:r>
        <w:t>Met — see Section 5. Only operationally required data is stored, no raw keystrokes are retained, and integrity monitoring stores aggregated signal metrics only.</w:t>
      </w:r>
    </w:p>
    <w:p>
      <w:pPr>
        <w:pStyle w:val="ListBullet"/>
      </w:pPr>
      <w:r>
        <w:rPr>
          <w:b/>
        </w:rPr>
        <w:t xml:space="preserve">Standard 9 – Data sharing: </w:t>
      </w:r>
      <w:r>
        <w:t>Met, with the compelling-reason justification now made explicit. Sharing occurs in three contexts: inbound MIS sync (Wonde), structured parent communication within the same family unit, and the cross-school SchoolCohortAggregate / PlatformInsight pipeline. The last is protected by a k-anonymity threshold (no insight is written unless at least 3 schools contribute), meaning no individual child’s data is disclosed or re-identifiable across schools.</w:t>
      </w:r>
    </w:p>
    <w:p>
      <w:pPr>
        <w:pStyle w:val="ListBullet"/>
      </w:pPr>
      <w:r>
        <w:rPr>
          <w:b/>
        </w:rPr>
        <w:t xml:space="preserve">Standard 10 – Geolocation: </w:t>
      </w:r>
      <w:r>
        <w:t>Not applicable. Omnis does not collect or use device geolocation data.</w:t>
      </w:r>
    </w:p>
    <w:p>
      <w:pPr>
        <w:pStyle w:val="ListBullet"/>
      </w:pPr>
      <w:r>
        <w:rPr>
          <w:b/>
        </w:rPr>
        <w:t xml:space="preserve">Standard 11 – Parental controls: </w:t>
      </w:r>
      <w:r>
        <w:t>Met — closed 30 Aug 2026. A "Visible to your parent" indicator now appears on the student-facing homework and grades views, computed per-student from the real parent link (ParentStudentLink) so it is never shown to a student without a linked parent account. Deliberately not added to student Messages, since parent accounts do not see that channel — placing it there would have been inaccurate. Evidence: evidence/phase8-childrens-code/standard-11-parent-visibility-indicator.md.</w:t>
      </w:r>
    </w:p>
    <w:p>
      <w:pPr>
        <w:pStyle w:val="ListBullet"/>
      </w:pPr>
      <w:r>
        <w:rPr>
          <w:b/>
        </w:rPr>
        <w:t xml:space="preserve">Standard 12 – Profiling: </w:t>
      </w:r>
      <w:r>
        <w:t>Met. Predicted-grade, RAG status and adaptive-learning outputs constitute profiling, retained for the legitimate educational purpose under Article 6(1)(e) and already protected by the human-review requirement in Section 9 and SENCo/teacher sign-off on SEND-related outputs. No automated decision with legal or significant effect is made without review.</w:t>
      </w:r>
    </w:p>
    <w:p>
      <w:pPr>
        <w:pStyle w:val="ListBullet"/>
      </w:pPr>
      <w:r>
        <w:rPr>
          <w:b/>
        </w:rPr>
        <w:t xml:space="preserve">Standard 13 – Nudge techniques: </w:t>
      </w:r>
      <w:r>
        <w:t>Met. No streaks, rewards or engagement-maximising nudges are used to extract additional data or weaken privacy settings; homework and revision reminders are informational only. Re-confirm if gamification features are added on the roadmap.</w:t>
      </w:r>
    </w:p>
    <w:p>
      <w:pPr>
        <w:pStyle w:val="ListBullet"/>
      </w:pPr>
      <w:r>
        <w:rPr>
          <w:b/>
        </w:rPr>
        <w:t xml:space="preserve">Standard 14 – Connected toys and devices: </w:t>
      </w:r>
      <w:r>
        <w:t>Not applicable. Omnis has no connected hardware.</w:t>
      </w:r>
    </w:p>
    <w:p>
      <w:pPr>
        <w:pStyle w:val="ListBullet"/>
      </w:pPr>
      <w:r>
        <w:rPr>
          <w:b/>
        </w:rPr>
        <w:t xml:space="preserve">Standard 15 – Online tools: </w:t>
      </w:r>
      <w:r>
        <w:t>Met — closed 30 Aug 2026. A new, always-reachable "How your data is used" page (/student/privacy, linked from the sidebar on every student page) explains what is stored, who can see it, AI use, and who to ask — with a per-school configurable DPO contact (School.dpoName/dpoEmail, editable by SCHOOL_ADMIN/SLT from the admin dashboard at any time) falling back to a generic "ask your school office" prompt when unset. Evidence: evidence/phase8-childrens-code/standard-15-student-data-rights-link.md.</w:t>
      </w:r>
    </w:p>
    <w:p>
      <w:r>
        <w:rPr>
          <w:b/>
        </w:rPr>
        <w:t>13.2 Outstanding Actions — Status</w:t>
      </w:r>
    </w:p>
    <w:p>
      <w:pPr>
        <w:pStyle w:val="ListBullet"/>
      </w:pPr>
      <w:r>
        <w:t>CLOSED 30 Aug 2026 — bite-sized transparency notice built and verified — Standard 4. See 13.1 and evidence/phase8-childrens-code/standard-4-transparency-notice.md.</w:t>
      </w:r>
    </w:p>
    <w:p>
      <w:pPr>
        <w:pStyle w:val="ListBullet"/>
      </w:pPr>
      <w:r>
        <w:t>CLOSED 30 Aug 2026 — default settings audited and fixed — Standard 7. See 13.1 and evidence/phase8-childrens-code/standard-7-default-settings-audit.md.</w:t>
      </w:r>
    </w:p>
    <w:p>
      <w:pPr>
        <w:pStyle w:val="ListBullet"/>
      </w:pPr>
      <w:r>
        <w:t>CLOSED 30 Aug 2026 — "shared with your parent/carer" indicator built and verified — Standard 11. See 13.1 and evidence/phase8-childrens-code/standard-11-parent-visibility-indicator.md.</w:t>
      </w:r>
    </w:p>
    <w:p>
      <w:pPr>
        <w:pStyle w:val="ListBullet"/>
      </w:pPr>
      <w:r>
        <w:t>CLOSED 30 Aug 2026 — "how your data is used / who to ask" page built and verified — Standard 15. See 13.1 and evidence/phase8-childrens-code/standard-15-student-data-rights-link.md.</w:t>
      </w:r>
    </w:p>
    <w:p>
      <w:pPr>
        <w:pStyle w:val="ListBullet"/>
      </w:pPr>
      <w:r>
        <w:t>Formally record the age-assurance methodology (school-provisioned accounts plus MIS year-group data) as a standing governance record — Standard 3.</w:t>
      </w:r>
    </w:p>
    <w:p>
      <w:r>
        <w:t>Standards 4, 7, 11 and 15 above were closed out 30 Aug 2026 — product evidence in evidence/phase8-childrens-code/, cross-referenced from OMNIS_GO_LIVE_TESTING_AND_ACCREDITATION_CHECKLIST.md, Phase 8.1. Omnis can now be treated as fully assessed against the ICO Children’s Code, subject to the ongoing re-confirmation notes on Standards 9 and 13 above if roadmap features change that picture.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