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Architecture</w:t>
      </w:r>
    </w:p>
    <w:p/>
    <w:p>
      <w:r>
        <w:t>Core Engines:</w:t>
      </w:r>
    </w:p>
    <w:p>
      <w:r>
        <w:t>1. Funding Assurance</w:t>
      </w:r>
    </w:p>
    <w:p>
      <w:r>
        <w:t>2. Workflow</w:t>
      </w:r>
    </w:p>
    <w:p>
      <w:r>
        <w:t>3. Approval</w:t>
      </w:r>
    </w:p>
    <w:p>
      <w:r>
        <w:t>4. Payment</w:t>
      </w:r>
    </w:p>
    <w:p>
      <w:r>
        <w:t>5. Audit</w:t>
      </w:r>
    </w:p>
    <w:p>
      <w:r>
        <w:t>6. Compliance</w:t>
      </w:r>
    </w:p>
    <w:p/>
    <w:p>
      <w:r>
        <w:t>Flow:</w:t>
      </w:r>
    </w:p>
    <w:p>
      <w:r>
        <w:t>Schedule → Forecast → Funding → Work → Approval → Payment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